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2B78B3B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316B75">
        <w:rPr>
          <w:rFonts w:ascii="Arial" w:eastAsia="SimSun" w:hAnsi="Arial" w:cs="Times New Roman"/>
          <w:b/>
          <w:sz w:val="24"/>
          <w:szCs w:val="20"/>
          <w:lang w:val="en-GB"/>
        </w:rPr>
        <w:t>1</w:t>
      </w:r>
      <w:r w:rsidR="00413259">
        <w:rPr>
          <w:rFonts w:ascii="Arial" w:eastAsia="SimSun" w:hAnsi="Arial" w:cs="Times New Roman"/>
          <w:b/>
          <w:sz w:val="24"/>
          <w:szCs w:val="20"/>
          <w:lang w:val="en-GB"/>
        </w:rPr>
        <w:t>bis</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061D37">
        <w:rPr>
          <w:rFonts w:ascii="Arial" w:eastAsia="SimSun" w:hAnsi="Arial" w:cs="Times New Roman"/>
          <w:b/>
          <w:bCs/>
          <w:sz w:val="24"/>
          <w:szCs w:val="20"/>
          <w:lang w:val="en-GB" w:eastAsia="ja-JP"/>
        </w:rPr>
        <w:t>201667</w:t>
      </w:r>
    </w:p>
    <w:p w14:paraId="3DEDC117" w14:textId="2503C9B3"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2F5F97">
        <w:rPr>
          <w:rFonts w:ascii="Arial" w:eastAsia="SimSun" w:hAnsi="Arial" w:cs="Times New Roman"/>
          <w:b/>
          <w:sz w:val="24"/>
          <w:szCs w:val="20"/>
          <w:lang w:val="en-GB"/>
        </w:rPr>
        <w:t>1</w:t>
      </w:r>
      <w:r w:rsidR="00413259">
        <w:rPr>
          <w:rFonts w:ascii="Arial" w:eastAsia="SimSun" w:hAnsi="Arial" w:cs="Times New Roman"/>
          <w:b/>
          <w:sz w:val="24"/>
          <w:szCs w:val="20"/>
          <w:lang w:val="en-GB"/>
        </w:rPr>
        <w:t>7</w:t>
      </w:r>
      <w:r w:rsidR="00BA37CF">
        <w:rPr>
          <w:rFonts w:ascii="Arial" w:eastAsia="SimSun" w:hAnsi="Arial" w:cs="Times New Roman"/>
          <w:b/>
          <w:sz w:val="24"/>
          <w:szCs w:val="20"/>
          <w:lang w:val="en-GB"/>
        </w:rPr>
        <w:t xml:space="preserve"> – </w:t>
      </w:r>
      <w:r w:rsidR="00316B75">
        <w:rPr>
          <w:rFonts w:ascii="Arial" w:eastAsia="SimSun" w:hAnsi="Arial" w:cs="Times New Roman"/>
          <w:b/>
          <w:sz w:val="24"/>
          <w:szCs w:val="20"/>
          <w:lang w:val="en-GB"/>
        </w:rPr>
        <w:t>2</w:t>
      </w:r>
      <w:r w:rsidR="00413259">
        <w:rPr>
          <w:rFonts w:ascii="Arial" w:eastAsia="SimSun" w:hAnsi="Arial" w:cs="Times New Roman"/>
          <w:b/>
          <w:sz w:val="24"/>
          <w:szCs w:val="20"/>
          <w:lang w:val="en-GB"/>
        </w:rPr>
        <w:t>5</w:t>
      </w:r>
      <w:r w:rsidR="00BA37CF">
        <w:rPr>
          <w:rFonts w:ascii="Arial" w:eastAsia="SimSun" w:hAnsi="Arial" w:cs="Times New Roman"/>
          <w:b/>
          <w:sz w:val="24"/>
          <w:szCs w:val="20"/>
          <w:lang w:val="en-GB"/>
        </w:rPr>
        <w:t xml:space="preserve"> </w:t>
      </w:r>
      <w:r w:rsidR="00413259">
        <w:rPr>
          <w:rFonts w:ascii="Arial" w:eastAsia="SimSun" w:hAnsi="Arial" w:cs="Times New Roman"/>
          <w:b/>
          <w:sz w:val="24"/>
          <w:szCs w:val="20"/>
          <w:lang w:val="en-GB"/>
        </w:rPr>
        <w:t>January</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413259">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F1EA72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F1491">
        <w:rPr>
          <w:rFonts w:ascii="Arial" w:eastAsia="Calibri" w:hAnsi="Arial" w:cs="Arial"/>
          <w:b/>
          <w:bCs/>
          <w:sz w:val="24"/>
          <w:lang w:val="en-GB"/>
        </w:rPr>
        <w:t>Discussion o</w:t>
      </w:r>
      <w:r w:rsidR="001D643B">
        <w:rPr>
          <w:rFonts w:ascii="Arial" w:eastAsia="Calibri" w:hAnsi="Arial" w:cs="Arial"/>
          <w:b/>
          <w:bCs/>
          <w:sz w:val="24"/>
          <w:lang w:val="en-GB"/>
        </w:rPr>
        <w:t xml:space="preserve">n </w:t>
      </w:r>
      <w:r w:rsidR="004F21BB">
        <w:rPr>
          <w:rFonts w:ascii="Arial" w:eastAsia="Calibri" w:hAnsi="Arial" w:cs="Arial"/>
          <w:b/>
          <w:bCs/>
          <w:sz w:val="24"/>
          <w:lang w:val="en-GB"/>
        </w:rPr>
        <w:t xml:space="preserve">network signalling for </w:t>
      </w:r>
      <w:r w:rsidR="00C601D4">
        <w:rPr>
          <w:rFonts w:ascii="Arial" w:eastAsia="Calibri" w:hAnsi="Arial" w:cs="Arial"/>
          <w:b/>
          <w:bCs/>
          <w:sz w:val="24"/>
          <w:lang w:val="en-GB"/>
        </w:rPr>
        <w:t xml:space="preserve">FR2 HST </w:t>
      </w:r>
      <w:r w:rsidR="004F21BB">
        <w:rPr>
          <w:rFonts w:ascii="Arial" w:eastAsia="Calibri" w:hAnsi="Arial" w:cs="Arial"/>
          <w:b/>
          <w:bCs/>
          <w:sz w:val="24"/>
          <w:lang w:val="en-GB"/>
        </w:rPr>
        <w:t>R</w:t>
      </w:r>
      <w:r w:rsidR="00C601D4">
        <w:rPr>
          <w:rFonts w:ascii="Arial" w:eastAsia="Calibri" w:hAnsi="Arial" w:cs="Arial"/>
          <w:b/>
          <w:bCs/>
          <w:sz w:val="24"/>
          <w:lang w:val="en-GB"/>
        </w:rPr>
        <w:t>RM</w:t>
      </w:r>
      <w:r w:rsidR="00E32A76">
        <w:rPr>
          <w:rFonts w:ascii="Arial" w:eastAsia="Calibri" w:hAnsi="Arial" w:cs="Arial"/>
          <w:b/>
          <w:bCs/>
          <w:sz w:val="24"/>
          <w:lang w:val="en-GB"/>
        </w:rPr>
        <w:t xml:space="preserve"> </w:t>
      </w:r>
      <w:r w:rsidR="001D643B">
        <w:rPr>
          <w:rFonts w:ascii="Arial" w:eastAsia="Calibri" w:hAnsi="Arial" w:cs="Arial"/>
          <w:b/>
          <w:bCs/>
          <w:sz w:val="24"/>
          <w:lang w:val="en-GB"/>
        </w:rPr>
        <w:t xml:space="preserve"> </w:t>
      </w:r>
    </w:p>
    <w:p w14:paraId="53921647" w14:textId="562DB10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13259">
        <w:rPr>
          <w:rFonts w:ascii="Arial" w:eastAsia="MS Mincho" w:hAnsi="Arial" w:cs="Arial"/>
          <w:b/>
          <w:bCs/>
          <w:sz w:val="24"/>
          <w:szCs w:val="20"/>
          <w:lang w:val="en-GB"/>
        </w:rPr>
        <w:t>6</w:t>
      </w:r>
      <w:r w:rsidRPr="00EC16E2">
        <w:rPr>
          <w:rFonts w:ascii="Arial" w:eastAsia="MS Mincho" w:hAnsi="Arial" w:cs="Arial"/>
          <w:b/>
          <w:bCs/>
          <w:sz w:val="24"/>
          <w:szCs w:val="20"/>
          <w:lang w:val="en-GB"/>
        </w:rPr>
        <w:t>.</w:t>
      </w:r>
      <w:r w:rsidR="009169CF" w:rsidRPr="00EC16E2">
        <w:rPr>
          <w:rFonts w:ascii="Arial" w:eastAsia="MS Mincho" w:hAnsi="Arial" w:cs="Arial"/>
          <w:b/>
          <w:bCs/>
          <w:sz w:val="24"/>
          <w:szCs w:val="20"/>
          <w:lang w:val="en-GB"/>
        </w:rPr>
        <w:t>9</w:t>
      </w:r>
      <w:r w:rsidRPr="00EC16E2">
        <w:rPr>
          <w:rFonts w:ascii="Arial" w:eastAsia="MS Mincho" w:hAnsi="Arial" w:cs="Arial"/>
          <w:b/>
          <w:bCs/>
          <w:sz w:val="24"/>
          <w:szCs w:val="20"/>
          <w:lang w:val="en-GB"/>
        </w:rPr>
        <w:t>.</w:t>
      </w:r>
      <w:r w:rsidR="009B1758" w:rsidRPr="00680914">
        <w:rPr>
          <w:rFonts w:ascii="Arial" w:eastAsia="MS Mincho" w:hAnsi="Arial" w:cs="Arial"/>
          <w:b/>
          <w:bCs/>
          <w:sz w:val="24"/>
          <w:szCs w:val="20"/>
          <w:lang w:val="en-GB"/>
        </w:rPr>
        <w:t>4</w:t>
      </w:r>
      <w:r w:rsidR="00C61950" w:rsidRPr="00680914">
        <w:rPr>
          <w:rFonts w:ascii="Arial" w:eastAsia="MS Mincho" w:hAnsi="Arial" w:cs="Arial"/>
          <w:b/>
          <w:bCs/>
          <w:sz w:val="24"/>
          <w:szCs w:val="20"/>
          <w:lang w:val="en-GB"/>
        </w:rPr>
        <w:t>.</w:t>
      </w:r>
      <w:r w:rsidR="00413259" w:rsidRPr="00680914">
        <w:rPr>
          <w:rFonts w:ascii="Arial" w:eastAsia="MS Mincho" w:hAnsi="Arial" w:cs="Arial"/>
          <w:b/>
          <w:bCs/>
          <w:sz w:val="24"/>
          <w:szCs w:val="20"/>
          <w:lang w:val="en-GB"/>
        </w:rPr>
        <w:t>1</w:t>
      </w:r>
    </w:p>
    <w:p w14:paraId="266D763D" w14:textId="4779B9DF"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75FC9">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0D04FA0" w14:textId="17F38FA8" w:rsidR="00921FB7" w:rsidRDefault="00E12A0E" w:rsidP="00841BCD">
      <w:pPr>
        <w:ind w:right="-22"/>
        <w:rPr>
          <w:bCs/>
        </w:rPr>
      </w:pPr>
      <w:r>
        <w:rPr>
          <w:bCs/>
        </w:rPr>
        <w:t>During the</w:t>
      </w:r>
      <w:r w:rsidR="00500A86">
        <w:rPr>
          <w:bCs/>
        </w:rPr>
        <w:t xml:space="preserve"> RAN4#</w:t>
      </w:r>
      <w:r w:rsidR="009F79AB">
        <w:rPr>
          <w:bCs/>
        </w:rPr>
        <w:t>10</w:t>
      </w:r>
      <w:r w:rsidR="00B810B5">
        <w:rPr>
          <w:bCs/>
        </w:rPr>
        <w:t>1</w:t>
      </w:r>
      <w:r w:rsidR="00500A86">
        <w:rPr>
          <w:bCs/>
        </w:rPr>
        <w:t>-e</w:t>
      </w:r>
      <w:r>
        <w:rPr>
          <w:bCs/>
        </w:rPr>
        <w:t xml:space="preserve"> meeting</w:t>
      </w:r>
      <w:r w:rsidR="00500A86">
        <w:rPr>
          <w:bCs/>
        </w:rPr>
        <w:t>,</w:t>
      </w:r>
      <w:r>
        <w:rPr>
          <w:bCs/>
        </w:rPr>
        <w:t xml:space="preserve"> a way forward on </w:t>
      </w:r>
      <w:r w:rsidR="004C4FD8">
        <w:rPr>
          <w:bCs/>
        </w:rPr>
        <w:t xml:space="preserve">FR2 HST </w:t>
      </w:r>
      <w:r>
        <w:rPr>
          <w:bCs/>
        </w:rPr>
        <w:t xml:space="preserve">RRM </w:t>
      </w:r>
      <w:r w:rsidR="004C4FD8">
        <w:rPr>
          <w:bCs/>
        </w:rPr>
        <w:t>requirements</w:t>
      </w:r>
      <w:r w:rsidR="00500A86">
        <w:rPr>
          <w:sz w:val="22"/>
        </w:rPr>
        <w:t xml:space="preserve"> </w:t>
      </w:r>
      <w:r>
        <w:rPr>
          <w:sz w:val="22"/>
        </w:rPr>
        <w:t xml:space="preserve">[1] </w:t>
      </w:r>
      <w:r w:rsidR="00500A86">
        <w:rPr>
          <w:sz w:val="22"/>
        </w:rPr>
        <w:t xml:space="preserve">was </w:t>
      </w:r>
      <w:r>
        <w:rPr>
          <w:sz w:val="22"/>
        </w:rPr>
        <w:t>approved</w:t>
      </w:r>
      <w:r>
        <w:rPr>
          <w:bCs/>
        </w:rPr>
        <w:t>, capturing some agreements and remaining open issues</w:t>
      </w:r>
      <w:r w:rsidR="00816266">
        <w:rPr>
          <w:bCs/>
        </w:rPr>
        <w:t xml:space="preserve"> on network signalling</w:t>
      </w:r>
      <w:r>
        <w:rPr>
          <w:bCs/>
        </w:rPr>
        <w:t>. In this contribution, we address the open issues</w:t>
      </w:r>
      <w:r w:rsidR="00E938D7">
        <w:rPr>
          <w:bCs/>
        </w:rPr>
        <w:t xml:space="preserve"> and provide our view</w:t>
      </w:r>
      <w:r w:rsidR="00816266">
        <w:rPr>
          <w:bCs/>
        </w:rPr>
        <w:t>s</w:t>
      </w:r>
      <w:r>
        <w:rPr>
          <w:bCs/>
        </w:rPr>
        <w:t>.</w:t>
      </w:r>
      <w:r w:rsidR="00500A86">
        <w:rPr>
          <w:bCs/>
        </w:rPr>
        <w:t xml:space="preserve"> </w:t>
      </w:r>
    </w:p>
    <w:p w14:paraId="30D12E69" w14:textId="77777777" w:rsidR="00400491" w:rsidRDefault="00400491" w:rsidP="00841BCD">
      <w:pPr>
        <w:ind w:right="-22"/>
        <w:rPr>
          <w:bCs/>
        </w:rPr>
      </w:pPr>
    </w:p>
    <w:p w14:paraId="5CA24BAE" w14:textId="3E41AB9A" w:rsidR="00E323C0" w:rsidRPr="009D1737" w:rsidRDefault="003B659E" w:rsidP="009D1737">
      <w:pPr>
        <w:pStyle w:val="RAN4H1"/>
      </w:pPr>
      <w:r w:rsidRPr="00AE56B1">
        <w:t>Discussion</w:t>
      </w:r>
    </w:p>
    <w:p w14:paraId="78013AE1" w14:textId="548E5732" w:rsidR="005A26BD" w:rsidRDefault="00542990" w:rsidP="005A26BD">
      <w:pPr>
        <w:pStyle w:val="RAN4H2"/>
      </w:pPr>
      <w:r>
        <w:t xml:space="preserve">Signalling of uni- and bi-directional </w:t>
      </w:r>
      <w:r w:rsidR="00E3045F">
        <w:t xml:space="preserve">operation </w:t>
      </w:r>
      <w:r>
        <w:t>modes</w:t>
      </w:r>
    </w:p>
    <w:p w14:paraId="50D5EFFC" w14:textId="6B7222D3" w:rsidR="00347901" w:rsidRDefault="00B37DE3" w:rsidP="00347901">
      <w:pPr>
        <w:rPr>
          <w:lang w:val="en-GB"/>
        </w:rPr>
      </w:pPr>
      <w:r>
        <w:rPr>
          <w:lang w:val="en-GB"/>
        </w:rPr>
        <w:t>According the WF [1],</w:t>
      </w:r>
      <w:r w:rsidR="00A4413E">
        <w:rPr>
          <w:lang w:val="en-GB"/>
        </w:rPr>
        <w:t xml:space="preserve"> whether network should indicate uni- or bi-directional mode to UE is still an open issue. </w:t>
      </w:r>
      <w:r w:rsidR="00347901">
        <w:rPr>
          <w:lang w:val="en-GB"/>
        </w:rPr>
        <w:t xml:space="preserve"> </w:t>
      </w:r>
    </w:p>
    <w:tbl>
      <w:tblPr>
        <w:tblStyle w:val="TableGrid"/>
        <w:tblW w:w="0" w:type="auto"/>
        <w:tblLook w:val="04A0" w:firstRow="1" w:lastRow="0" w:firstColumn="1" w:lastColumn="0" w:noHBand="0" w:noVBand="1"/>
      </w:tblPr>
      <w:tblGrid>
        <w:gridCol w:w="9617"/>
      </w:tblGrid>
      <w:tr w:rsidR="00347901" w14:paraId="5259C6EE" w14:textId="77777777" w:rsidTr="00FC5D76">
        <w:tc>
          <w:tcPr>
            <w:tcW w:w="9617" w:type="dxa"/>
          </w:tcPr>
          <w:p w14:paraId="5E54226D" w14:textId="77777777" w:rsidR="009B240B" w:rsidRPr="00296858" w:rsidRDefault="009B240B" w:rsidP="009B240B">
            <w:pPr>
              <w:rPr>
                <w:b/>
              </w:rPr>
            </w:pPr>
            <w:r w:rsidRPr="00296858">
              <w:rPr>
                <w:b/>
              </w:rPr>
              <w:t>Way forward:</w:t>
            </w:r>
          </w:p>
          <w:p w14:paraId="5CB98DEE" w14:textId="77777777" w:rsidR="009B240B" w:rsidRPr="00296858" w:rsidRDefault="009B240B" w:rsidP="009B240B">
            <w:pPr>
              <w:ind w:left="284"/>
            </w:pPr>
            <w:r w:rsidRPr="00296858">
              <w:t>Discuss further a need to introduce</w:t>
            </w:r>
            <w:r>
              <w:t xml:space="preserve"> network signaling</w:t>
            </w:r>
            <w:r w:rsidRPr="00296858">
              <w:t>:</w:t>
            </w:r>
          </w:p>
          <w:p w14:paraId="5586D799" w14:textId="77777777" w:rsidR="009B240B" w:rsidRPr="00296858" w:rsidRDefault="009B240B" w:rsidP="00B1238A">
            <w:pPr>
              <w:pStyle w:val="ListParagraph"/>
              <w:numPr>
                <w:ilvl w:val="0"/>
                <w:numId w:val="5"/>
              </w:numPr>
              <w:overflowPunct w:val="0"/>
              <w:autoSpaceDE w:val="0"/>
              <w:autoSpaceDN w:val="0"/>
              <w:adjustRightInd w:val="0"/>
              <w:spacing w:after="180"/>
              <w:contextualSpacing w:val="0"/>
              <w:rPr>
                <w:lang w:eastAsia="zh-CN"/>
              </w:rPr>
            </w:pPr>
            <w:r w:rsidRPr="00296858">
              <w:rPr>
                <w:lang w:eastAsia="zh-CN"/>
              </w:rPr>
              <w:t>Option 1: Network signals type of deployment (uni- or bi-direction) to UE.</w:t>
            </w:r>
          </w:p>
          <w:p w14:paraId="3F08DED7" w14:textId="3109F741" w:rsidR="00347901" w:rsidRPr="009B240B" w:rsidRDefault="009B240B" w:rsidP="00B1238A">
            <w:pPr>
              <w:pStyle w:val="ListParagraph"/>
              <w:numPr>
                <w:ilvl w:val="0"/>
                <w:numId w:val="5"/>
              </w:numPr>
              <w:overflowPunct w:val="0"/>
              <w:autoSpaceDE w:val="0"/>
              <w:autoSpaceDN w:val="0"/>
              <w:adjustRightInd w:val="0"/>
              <w:spacing w:after="180"/>
              <w:textAlignment w:val="baseline"/>
              <w:rPr>
                <w:rFonts w:eastAsia="Yu Mincho"/>
                <w:bCs/>
                <w:lang w:eastAsia="zh-CN"/>
              </w:rPr>
            </w:pPr>
            <w:r w:rsidRPr="00296858">
              <w:rPr>
                <w:lang w:eastAsia="zh-CN"/>
              </w:rPr>
              <w:t>Option 2: Signaling of uni-/bi-directional operation is not needed.</w:t>
            </w:r>
          </w:p>
        </w:tc>
      </w:tr>
    </w:tbl>
    <w:p w14:paraId="20D90B9A" w14:textId="5DE422C8" w:rsidR="00B37DE3" w:rsidRDefault="00B37DE3" w:rsidP="00347901">
      <w:pPr>
        <w:rPr>
          <w:lang w:val="en-GB"/>
        </w:rPr>
      </w:pPr>
    </w:p>
    <w:p w14:paraId="61DA3663" w14:textId="0DCF0A0D" w:rsidR="00ED667F" w:rsidRDefault="00511E78" w:rsidP="00347901">
      <w:pPr>
        <w:rPr>
          <w:lang w:val="en-GB"/>
        </w:rPr>
      </w:pPr>
      <w:r>
        <w:rPr>
          <w:lang w:val="en-GB"/>
        </w:rPr>
        <w:t xml:space="preserve">During the last meeting, </w:t>
      </w:r>
      <w:r w:rsidR="00ED667F">
        <w:rPr>
          <w:lang w:val="en-GB"/>
        </w:rPr>
        <w:t xml:space="preserve">RAN4 agreed </w:t>
      </w:r>
      <w:r>
        <w:rPr>
          <w:lang w:val="en-GB"/>
        </w:rPr>
        <w:t>to have the same</w:t>
      </w:r>
      <w:r w:rsidR="00ED667F">
        <w:rPr>
          <w:lang w:val="en-GB"/>
        </w:rPr>
        <w:t xml:space="preserve"> RRM requirements for uni- and bi-directional </w:t>
      </w:r>
      <w:r w:rsidR="00975DE0">
        <w:rPr>
          <w:lang w:val="en-GB"/>
        </w:rPr>
        <w:t xml:space="preserve">modes </w:t>
      </w:r>
      <w:r>
        <w:rPr>
          <w:lang w:val="en-GB"/>
        </w:rPr>
        <w:t>for each of the deployment scenarios</w:t>
      </w:r>
      <w:r w:rsidR="00ED667F">
        <w:rPr>
          <w:lang w:val="en-GB"/>
        </w:rPr>
        <w:t xml:space="preserve"> [1].</w:t>
      </w:r>
    </w:p>
    <w:tbl>
      <w:tblPr>
        <w:tblStyle w:val="TableGrid"/>
        <w:tblW w:w="0" w:type="auto"/>
        <w:tblLook w:val="04A0" w:firstRow="1" w:lastRow="0" w:firstColumn="1" w:lastColumn="0" w:noHBand="0" w:noVBand="1"/>
      </w:tblPr>
      <w:tblGrid>
        <w:gridCol w:w="9617"/>
      </w:tblGrid>
      <w:tr w:rsidR="00506D9E" w14:paraId="26245F97" w14:textId="77777777" w:rsidTr="00506D9E">
        <w:tc>
          <w:tcPr>
            <w:tcW w:w="9617" w:type="dxa"/>
          </w:tcPr>
          <w:p w14:paraId="4D00F0FB" w14:textId="4C0688A8" w:rsidR="00ED667F" w:rsidRPr="00296858" w:rsidRDefault="00ED667F" w:rsidP="00ED667F">
            <w:pPr>
              <w:rPr>
                <w:b/>
              </w:rPr>
            </w:pPr>
            <w:r>
              <w:rPr>
                <w:lang w:val="en-GB"/>
              </w:rPr>
              <w:t xml:space="preserve"> </w:t>
            </w:r>
            <w:r w:rsidRPr="00296858">
              <w:rPr>
                <w:b/>
                <w:highlight w:val="green"/>
              </w:rPr>
              <w:t>Agreements:</w:t>
            </w:r>
          </w:p>
          <w:p w14:paraId="5D1267C9" w14:textId="3829B543" w:rsidR="00506D9E" w:rsidRPr="00ED667F" w:rsidRDefault="00ED667F" w:rsidP="00ED667F">
            <w:pPr>
              <w:overflowPunct w:val="0"/>
              <w:autoSpaceDE w:val="0"/>
              <w:autoSpaceDN w:val="0"/>
              <w:adjustRightInd w:val="0"/>
              <w:spacing w:after="180"/>
              <w:ind w:left="720"/>
              <w:textAlignment w:val="baseline"/>
              <w:rPr>
                <w:rFonts w:eastAsiaTheme="minorEastAsia"/>
                <w:iCs/>
                <w:lang w:eastAsia="zh-CN"/>
              </w:rPr>
            </w:pPr>
            <w:r w:rsidRPr="00286F82">
              <w:rPr>
                <w:bCs/>
              </w:rPr>
              <w:t>No separate requirements for uni-/bi-directional deployments are needed.</w:t>
            </w:r>
          </w:p>
        </w:tc>
      </w:tr>
    </w:tbl>
    <w:p w14:paraId="714BB998" w14:textId="28E69FD0" w:rsidR="003B6BB4" w:rsidRDefault="00506D9E" w:rsidP="00347901">
      <w:pPr>
        <w:rPr>
          <w:lang w:val="en-GB"/>
        </w:rPr>
      </w:pPr>
      <w:r>
        <w:rPr>
          <w:lang w:val="en-GB"/>
        </w:rPr>
        <w:t xml:space="preserve">  </w:t>
      </w:r>
      <w:r w:rsidR="00997263">
        <w:rPr>
          <w:lang w:val="en-GB"/>
        </w:rPr>
        <w:t xml:space="preserve"> </w:t>
      </w:r>
    </w:p>
    <w:p w14:paraId="11B78BE2" w14:textId="7D6A9140" w:rsidR="00347901" w:rsidRPr="007D0563" w:rsidRDefault="00ED667F" w:rsidP="00347901">
      <w:pPr>
        <w:rPr>
          <w:i/>
          <w:iCs/>
          <w:lang w:val="en-GB"/>
        </w:rPr>
      </w:pPr>
      <w:r w:rsidRPr="007D0563">
        <w:rPr>
          <w:i/>
          <w:iCs/>
          <w:lang w:val="en-GB"/>
        </w:rPr>
        <w:t xml:space="preserve">Observation 1: For </w:t>
      </w:r>
      <w:r w:rsidR="00511E78" w:rsidRPr="007D0563">
        <w:rPr>
          <w:i/>
          <w:iCs/>
          <w:lang w:val="en-GB"/>
        </w:rPr>
        <w:t xml:space="preserve">deployment </w:t>
      </w:r>
      <w:r w:rsidRPr="007D0563">
        <w:rPr>
          <w:i/>
          <w:iCs/>
          <w:lang w:val="en-GB"/>
        </w:rPr>
        <w:t xml:space="preserve">Scenarios A or B, </w:t>
      </w:r>
      <w:r w:rsidR="00277063">
        <w:rPr>
          <w:i/>
          <w:iCs/>
          <w:lang w:val="en-GB"/>
        </w:rPr>
        <w:t xml:space="preserve">uni- and bi-directional modes have </w:t>
      </w:r>
      <w:r w:rsidR="00511E78" w:rsidRPr="007D0563">
        <w:rPr>
          <w:i/>
          <w:iCs/>
          <w:lang w:val="en-GB"/>
        </w:rPr>
        <w:t>the same</w:t>
      </w:r>
      <w:r w:rsidRPr="007D0563">
        <w:rPr>
          <w:i/>
          <w:iCs/>
          <w:lang w:val="en-GB"/>
        </w:rPr>
        <w:t xml:space="preserve"> set of RRM requirements</w:t>
      </w:r>
      <w:r w:rsidR="003879F0" w:rsidRPr="007D0563">
        <w:rPr>
          <w:i/>
          <w:iCs/>
          <w:lang w:val="en-GB"/>
        </w:rPr>
        <w:t xml:space="preserve">. </w:t>
      </w:r>
    </w:p>
    <w:p w14:paraId="654D780F" w14:textId="7A4C3779" w:rsidR="006100C8" w:rsidRDefault="00BC02CC" w:rsidP="00347901">
      <w:r>
        <w:t>As a consequence of</w:t>
      </w:r>
      <w:r w:rsidR="004D3346">
        <w:t xml:space="preserve"> the observation, potential benefits of signalling the uni- or bi-direction mode to UE are not obvious. </w:t>
      </w:r>
      <w:r>
        <w:t xml:space="preserve">With reference to the e-mail summary [2], some argue that </w:t>
      </w:r>
      <w:r w:rsidR="007D0563">
        <w:t xml:space="preserve">the network signalling </w:t>
      </w:r>
      <w:r w:rsidR="00540183">
        <w:t>is useful to reduce UE RX beam refinement</w:t>
      </w:r>
      <w:r w:rsidR="007D0563">
        <w:t xml:space="preserve">. However, </w:t>
      </w:r>
      <w:r w:rsidR="00540183">
        <w:t xml:space="preserve">we believe signalling the operation mode alone is not sufficient without knowing the </w:t>
      </w:r>
      <w:r w:rsidR="002115DC">
        <w:t xml:space="preserve">pointing angle of each </w:t>
      </w:r>
      <w:r w:rsidR="00540183">
        <w:t>RRH TX beam</w:t>
      </w:r>
      <w:r w:rsidR="00764420">
        <w:t>.</w:t>
      </w:r>
      <w:r w:rsidR="006100C8">
        <w:t xml:space="preserve"> </w:t>
      </w:r>
      <w:r w:rsidR="002115DC">
        <w:t>However, such a</w:t>
      </w:r>
      <w:r w:rsidR="00B4136C">
        <w:t>n</w:t>
      </w:r>
      <w:r w:rsidR="002115DC">
        <w:t xml:space="preserve"> RRH TX beam pointing angle is </w:t>
      </w:r>
      <w:r w:rsidR="005C0693">
        <w:t>discussed in</w:t>
      </w:r>
      <w:r w:rsidR="002115DC">
        <w:t xml:space="preserve"> the network assistant signalling in the next section. As there is no obvious benefit</w:t>
      </w:r>
      <w:r w:rsidR="006100C8">
        <w:t xml:space="preserve">, we </w:t>
      </w:r>
      <w:r w:rsidR="002115DC">
        <w:t xml:space="preserve">prefer not to </w:t>
      </w:r>
      <w:r w:rsidR="00223F97">
        <w:t>defin</w:t>
      </w:r>
      <w:r w:rsidR="002115DC">
        <w:t>e</w:t>
      </w:r>
      <w:r w:rsidR="00223F97">
        <w:t xml:space="preserve"> </w:t>
      </w:r>
      <w:r w:rsidR="006100C8">
        <w:t xml:space="preserve">signalling </w:t>
      </w:r>
      <w:r w:rsidR="00223F97">
        <w:t>for indicating</w:t>
      </w:r>
      <w:r w:rsidR="006100C8">
        <w:t xml:space="preserve"> uni- or bi-directional mode</w:t>
      </w:r>
      <w:r w:rsidR="00A2612F">
        <w:t>,</w:t>
      </w:r>
      <w:r w:rsidR="006100C8">
        <w:t xml:space="preserve"> </w:t>
      </w:r>
      <w:r w:rsidR="00A2612F">
        <w:t>but</w:t>
      </w:r>
      <w:r w:rsidR="006100C8">
        <w:t xml:space="preserve"> we are open to discuss should potential benefits are identified. </w:t>
      </w:r>
    </w:p>
    <w:p w14:paraId="58F91597" w14:textId="5FE92BE0" w:rsidR="009816D6" w:rsidRPr="009816D6" w:rsidRDefault="009816D6" w:rsidP="00347901">
      <w:pPr>
        <w:rPr>
          <w:i/>
          <w:iCs/>
        </w:rPr>
      </w:pPr>
      <w:r w:rsidRPr="009816D6">
        <w:rPr>
          <w:i/>
          <w:iCs/>
        </w:rPr>
        <w:t>Observation 2: No obvious potential benefits in defining network signalling to indicate uni- or bi-directional mode.</w:t>
      </w:r>
    </w:p>
    <w:p w14:paraId="5418C12E" w14:textId="0CFBFBB5" w:rsidR="003879F0" w:rsidRPr="00546839" w:rsidRDefault="006100C8" w:rsidP="00347901">
      <w:pPr>
        <w:rPr>
          <w:b/>
          <w:bCs/>
        </w:rPr>
      </w:pPr>
      <w:r w:rsidRPr="00546839">
        <w:rPr>
          <w:b/>
          <w:bCs/>
        </w:rPr>
        <w:t xml:space="preserve">Proposal 1: </w:t>
      </w:r>
      <w:r w:rsidR="00884F2E">
        <w:rPr>
          <w:b/>
          <w:bCs/>
        </w:rPr>
        <w:t>Network signalling of u</w:t>
      </w:r>
      <w:r w:rsidR="00546839" w:rsidRPr="00546839">
        <w:rPr>
          <w:b/>
          <w:bCs/>
        </w:rPr>
        <w:t>ni- or bidirectional</w:t>
      </w:r>
      <w:r w:rsidR="002115DC">
        <w:rPr>
          <w:b/>
          <w:bCs/>
        </w:rPr>
        <w:t xml:space="preserve"> </w:t>
      </w:r>
      <w:r w:rsidR="009816D6">
        <w:rPr>
          <w:b/>
          <w:bCs/>
        </w:rPr>
        <w:t>is not ne</w:t>
      </w:r>
      <w:r w:rsidR="00305128">
        <w:rPr>
          <w:b/>
          <w:bCs/>
        </w:rPr>
        <w:t>eded</w:t>
      </w:r>
      <w:r w:rsidR="009816D6">
        <w:rPr>
          <w:b/>
          <w:bCs/>
        </w:rPr>
        <w:t>.</w:t>
      </w:r>
      <w:r w:rsidR="00BC02CC" w:rsidRPr="00546839">
        <w:rPr>
          <w:b/>
          <w:bCs/>
        </w:rPr>
        <w:t xml:space="preserve"> </w:t>
      </w:r>
      <w:r w:rsidR="004D3346" w:rsidRPr="00546839">
        <w:rPr>
          <w:b/>
          <w:bCs/>
        </w:rPr>
        <w:t xml:space="preserve"> </w:t>
      </w:r>
    </w:p>
    <w:p w14:paraId="0F6B683D" w14:textId="77777777" w:rsidR="00506D9E" w:rsidRDefault="00506D9E" w:rsidP="004A18E6">
      <w:pPr>
        <w:rPr>
          <w:u w:val="single"/>
        </w:rPr>
      </w:pPr>
    </w:p>
    <w:p w14:paraId="32CB9A57" w14:textId="29655E64" w:rsidR="002D78E0" w:rsidRPr="002D78E0" w:rsidRDefault="00BA6F4D" w:rsidP="004E23A1">
      <w:pPr>
        <w:pStyle w:val="RAN4H2"/>
      </w:pPr>
      <w:r>
        <w:lastRenderedPageBreak/>
        <w:t>Potential mobility issues in unidirectional scenarios</w:t>
      </w:r>
    </w:p>
    <w:p w14:paraId="47700C94" w14:textId="3FB76729" w:rsidR="00D85BCD" w:rsidRDefault="00BA6F4D" w:rsidP="004709A7">
      <w:r w:rsidRPr="00BA6F4D">
        <w:t xml:space="preserve">A potential mobility issue when UE is moving in the direction opposite to the RRH TX beams </w:t>
      </w:r>
      <w:r w:rsidR="00710232">
        <w:t>is</w:t>
      </w:r>
      <w:r w:rsidRPr="00BA6F4D">
        <w:t xml:space="preserve"> </w:t>
      </w:r>
      <w:r w:rsidR="00564A4A">
        <w:t>documented</w:t>
      </w:r>
      <w:r w:rsidRPr="00BA6F4D">
        <w:t xml:space="preserve"> in the WF</w:t>
      </w:r>
      <w:r w:rsidR="00710232">
        <w:t xml:space="preserve"> [1].</w:t>
      </w:r>
    </w:p>
    <w:tbl>
      <w:tblPr>
        <w:tblStyle w:val="TableGrid"/>
        <w:tblW w:w="0" w:type="auto"/>
        <w:tblLook w:val="04A0" w:firstRow="1" w:lastRow="0" w:firstColumn="1" w:lastColumn="0" w:noHBand="0" w:noVBand="1"/>
      </w:tblPr>
      <w:tblGrid>
        <w:gridCol w:w="9617"/>
      </w:tblGrid>
      <w:tr w:rsidR="00DF7DCE" w14:paraId="7134037A" w14:textId="77777777" w:rsidTr="00DF7DCE">
        <w:tc>
          <w:tcPr>
            <w:tcW w:w="9617" w:type="dxa"/>
          </w:tcPr>
          <w:p w14:paraId="0C86A611" w14:textId="77777777" w:rsidR="00BA6F4D" w:rsidRPr="00617A75" w:rsidRDefault="00BA6F4D" w:rsidP="00BA6F4D">
            <w:pPr>
              <w:rPr>
                <w:b/>
              </w:rPr>
            </w:pPr>
            <w:r w:rsidRPr="00617A75">
              <w:rPr>
                <w:b/>
              </w:rPr>
              <w:t>Way forward:</w:t>
            </w:r>
          </w:p>
          <w:p w14:paraId="249D7F0B" w14:textId="77777777" w:rsidR="00BA6F4D" w:rsidRPr="00617A75" w:rsidRDefault="00BA6F4D" w:rsidP="00BA6F4D">
            <w:pPr>
              <w:pStyle w:val="ListParagraph"/>
              <w:numPr>
                <w:ilvl w:val="0"/>
                <w:numId w:val="7"/>
              </w:numPr>
              <w:autoSpaceDN w:val="0"/>
              <w:spacing w:after="120"/>
              <w:ind w:left="644"/>
              <w:contextualSpacing w:val="0"/>
            </w:pPr>
            <w:r w:rsidRPr="00617A75">
              <w:rPr>
                <w:rFonts w:eastAsia="Yu Mincho"/>
                <w:bCs/>
                <w:lang w:eastAsia="zh-CN"/>
              </w:rPr>
              <w:t>RAN4 to consider solutions to</w:t>
            </w:r>
            <w:r>
              <w:rPr>
                <w:rFonts w:eastAsia="Yu Mincho"/>
                <w:bCs/>
                <w:lang w:eastAsia="zh-CN"/>
              </w:rPr>
              <w:t xml:space="preserve"> potential</w:t>
            </w:r>
            <w:r w:rsidRPr="00617A75">
              <w:rPr>
                <w:rFonts w:eastAsia="Yu Mincho"/>
                <w:bCs/>
                <w:lang w:eastAsia="zh-CN"/>
              </w:rPr>
              <w:t xml:space="preserve"> mobility issue when UE is moving in the direction opposite to the RRH TX beams in Scenario A are not precluded.</w:t>
            </w:r>
          </w:p>
          <w:p w14:paraId="491F8A8F" w14:textId="77777777" w:rsidR="00BA6F4D" w:rsidRPr="00617A75" w:rsidRDefault="00BA6F4D" w:rsidP="00BA6F4D">
            <w:pPr>
              <w:pStyle w:val="ListParagraph"/>
              <w:numPr>
                <w:ilvl w:val="1"/>
                <w:numId w:val="7"/>
              </w:numPr>
              <w:overflowPunct w:val="0"/>
              <w:autoSpaceDE w:val="0"/>
              <w:autoSpaceDN w:val="0"/>
              <w:adjustRightInd w:val="0"/>
              <w:spacing w:after="180"/>
              <w:contextualSpacing w:val="0"/>
              <w:textAlignment w:val="baseline"/>
            </w:pPr>
            <w:r w:rsidRPr="00617A75">
              <w:t>FFS whether 80 ms DRX cycle length can be supported in Scenario A for UE moving in the direction opposite to the RRH TX beams</w:t>
            </w:r>
          </w:p>
          <w:p w14:paraId="17068BF5" w14:textId="5A136750" w:rsidR="00DF7DCE" w:rsidRPr="00BA6F4D" w:rsidRDefault="00BA6F4D" w:rsidP="00BA6F4D">
            <w:pPr>
              <w:pStyle w:val="ListParagraph"/>
              <w:numPr>
                <w:ilvl w:val="0"/>
                <w:numId w:val="7"/>
              </w:numPr>
              <w:rPr>
                <w:lang w:val="en-GB"/>
              </w:rPr>
            </w:pPr>
            <w:r w:rsidRPr="00617A75">
              <w:t>Other solutions are not precluded</w:t>
            </w:r>
          </w:p>
        </w:tc>
      </w:tr>
    </w:tbl>
    <w:p w14:paraId="2F8D9166" w14:textId="17807C31" w:rsidR="00DF7DCE" w:rsidRDefault="00DF7DCE" w:rsidP="00F25B3F">
      <w:pPr>
        <w:rPr>
          <w:lang w:val="en-GB"/>
        </w:rPr>
      </w:pPr>
    </w:p>
    <w:p w14:paraId="372934A6" w14:textId="39FE7C9E" w:rsidR="00710232" w:rsidRDefault="008F5090" w:rsidP="00F25B3F">
      <w:pPr>
        <w:rPr>
          <w:lang w:val="en-GB"/>
        </w:rPr>
      </w:pPr>
      <w:r>
        <w:rPr>
          <w:lang w:val="en-GB"/>
        </w:rPr>
        <w:t xml:space="preserve">In [3], </w:t>
      </w:r>
      <w:r w:rsidR="00511D72" w:rsidRPr="00511D72">
        <w:rPr>
          <w:lang w:val="en-GB"/>
        </w:rPr>
        <w:t>a detailed analysis of uni directional Scenario</w:t>
      </w:r>
      <w:r w:rsidR="00511D72">
        <w:rPr>
          <w:lang w:val="en-GB"/>
        </w:rPr>
        <w:t xml:space="preserve"> </w:t>
      </w:r>
      <w:r w:rsidR="00511D72" w:rsidRPr="00511D72">
        <w:rPr>
          <w:lang w:val="en-GB"/>
        </w:rPr>
        <w:t>A</w:t>
      </w:r>
      <w:r w:rsidR="00511D72">
        <w:rPr>
          <w:lang w:val="en-GB"/>
        </w:rPr>
        <w:t xml:space="preserve"> was carried</w:t>
      </w:r>
      <w:r w:rsidR="00511D72" w:rsidRPr="00511D72">
        <w:rPr>
          <w:lang w:val="en-GB"/>
        </w:rPr>
        <w:t xml:space="preserve">, where the </w:t>
      </w:r>
      <w:r w:rsidR="00511D72">
        <w:rPr>
          <w:lang w:val="en-GB"/>
        </w:rPr>
        <w:t>UE</w:t>
      </w:r>
      <w:r w:rsidR="00511D72" w:rsidRPr="00511D72">
        <w:rPr>
          <w:lang w:val="en-GB"/>
        </w:rPr>
        <w:t xml:space="preserve"> is </w:t>
      </w:r>
      <w:r w:rsidR="00511D72">
        <w:rPr>
          <w:lang w:val="en-GB"/>
        </w:rPr>
        <w:t xml:space="preserve">moving in the direction that is opposite to the pointing direction of RRH TX beams as shown in </w:t>
      </w:r>
      <w:r w:rsidR="00511D72" w:rsidRPr="00511D72">
        <w:rPr>
          <w:lang w:val="en-GB"/>
        </w:rPr>
        <w:t>Figure 1.</w:t>
      </w:r>
      <w:r w:rsidR="00511D72">
        <w:rPr>
          <w:lang w:val="en-GB"/>
        </w:rPr>
        <w:t xml:space="preserve"> </w:t>
      </w:r>
    </w:p>
    <w:p w14:paraId="27575C04" w14:textId="5D290167" w:rsidR="00DF7DCE" w:rsidRDefault="000B77BB" w:rsidP="000B77BB">
      <w:pPr>
        <w:jc w:val="center"/>
        <w:rPr>
          <w:lang w:val="en-GB"/>
        </w:rPr>
      </w:pPr>
      <w:r w:rsidRPr="00EC6DEC">
        <w:object w:dxaOrig="5533" w:dyaOrig="1273" w14:anchorId="516CF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65.25pt" o:ole="">
            <v:imagedata r:id="rId13" o:title=""/>
          </v:shape>
          <o:OLEObject Type="Embed" ProgID="Visio.Drawing.15" ShapeID="_x0000_i1025" DrawAspect="Content" ObjectID="_1703357343" r:id="rId14"/>
        </w:object>
      </w:r>
    </w:p>
    <w:p w14:paraId="72B5C741" w14:textId="6D542C7E" w:rsidR="00DF7DCE" w:rsidRDefault="000B77BB" w:rsidP="00893C12">
      <w:pPr>
        <w:ind w:left="720"/>
        <w:rPr>
          <w:lang w:val="en-GB"/>
        </w:rPr>
      </w:pPr>
      <w:r>
        <w:rPr>
          <w:lang w:val="en-GB"/>
        </w:rPr>
        <w:t xml:space="preserve">Figure 1: </w:t>
      </w:r>
      <w:r w:rsidR="00893C12">
        <w:rPr>
          <w:lang w:val="en-GB"/>
        </w:rPr>
        <w:t xml:space="preserve">Direction of </w:t>
      </w:r>
      <w:r>
        <w:rPr>
          <w:lang w:val="en-GB"/>
        </w:rPr>
        <w:t xml:space="preserve">RRH TX </w:t>
      </w:r>
      <w:r w:rsidR="00893C12">
        <w:rPr>
          <w:lang w:val="en-GB"/>
        </w:rPr>
        <w:t>beams is opposite to the UE moving direction for unidirectional scenarios</w:t>
      </w:r>
    </w:p>
    <w:p w14:paraId="1221013C" w14:textId="7E500BE9" w:rsidR="000B77BB" w:rsidRDefault="00F64944" w:rsidP="00F25B3F">
      <w:pPr>
        <w:rPr>
          <w:lang w:val="en-GB"/>
        </w:rPr>
      </w:pPr>
      <w:r>
        <w:rPr>
          <w:lang w:val="en-GB"/>
        </w:rPr>
        <w:t xml:space="preserve">In unidirectional scenarios, </w:t>
      </w:r>
      <w:r w:rsidRPr="00F64944">
        <w:rPr>
          <w:lang w:val="en-GB"/>
        </w:rPr>
        <w:t>a handover is expected to occur at the switching point Ds_offset, which is defined as the point where UE switches from the serving RRH beam to the target RRH beam based on maximizing SNR among the detected beams</w:t>
      </w:r>
      <w:r>
        <w:rPr>
          <w:lang w:val="en-GB"/>
        </w:rPr>
        <w:t xml:space="preserve">. </w:t>
      </w:r>
      <w:r w:rsidRPr="00F64944">
        <w:rPr>
          <w:lang w:val="en-GB"/>
        </w:rPr>
        <w:t xml:space="preserve">In our system simulations, event A3 is used to trigger handover when the target cell is better than the current serving cell by a </w:t>
      </w:r>
      <w:r>
        <w:rPr>
          <w:lang w:val="en-GB"/>
        </w:rPr>
        <w:t>0</w:t>
      </w:r>
      <w:r w:rsidRPr="00F64944">
        <w:rPr>
          <w:lang w:val="en-GB"/>
        </w:rPr>
        <w:t xml:space="preserve"> dB offset</w:t>
      </w:r>
      <w:r>
        <w:rPr>
          <w:lang w:val="en-GB"/>
        </w:rPr>
        <w:t xml:space="preserve"> as depicted in Figure 2</w:t>
      </w:r>
      <w:r w:rsidRPr="00F64944">
        <w:rPr>
          <w:lang w:val="en-GB"/>
        </w:rPr>
        <w:t>. In this analysis, the same handover triggering condition is used. Hence, the event is triggered if the following condition is satisfied:</w:t>
      </w:r>
    </w:p>
    <w:p w14:paraId="59C6C0BF" w14:textId="47BEACE2" w:rsidR="00F64944" w:rsidRPr="00F64944" w:rsidRDefault="00F1751C" w:rsidP="00F64944">
      <w:pPr>
        <w:rPr>
          <w:lang w:val="en-GB"/>
        </w:rPr>
      </w:pPr>
      <m:oMath>
        <m:sSub>
          <m:sSubPr>
            <m:ctrlPr>
              <w:rPr>
                <w:rFonts w:ascii="Cambria Math" w:hAnsi="Cambria Math"/>
                <w:i/>
                <w:lang w:val="en-GB"/>
              </w:rPr>
            </m:ctrlPr>
          </m:sSubPr>
          <m:e>
            <m:r>
              <w:rPr>
                <w:rFonts w:ascii="Cambria Math" w:hAnsi="Cambria Math"/>
                <w:lang w:val="en-GB"/>
              </w:rPr>
              <m:t>SNR</m:t>
            </m:r>
          </m:e>
          <m:sub>
            <m:r>
              <w:rPr>
                <w:rFonts w:ascii="Cambria Math" w:hAnsi="Cambria Math"/>
                <w:lang w:val="en-GB"/>
              </w:rPr>
              <m:t>t</m:t>
            </m:r>
          </m:sub>
        </m:sSub>
        <m:r>
          <w:rPr>
            <w:rFonts w:ascii="Cambria Math" w:hAnsi="Cambria Math"/>
            <w:lang w:val="en-GB"/>
          </w:rPr>
          <m:t xml:space="preserve">&gt; </m:t>
        </m:r>
        <m:sSub>
          <m:sSubPr>
            <m:ctrlPr>
              <w:rPr>
                <w:rFonts w:ascii="Cambria Math" w:hAnsi="Cambria Math"/>
                <w:i/>
                <w:lang w:val="en-GB"/>
              </w:rPr>
            </m:ctrlPr>
          </m:sSubPr>
          <m:e>
            <m:r>
              <w:rPr>
                <w:rFonts w:ascii="Cambria Math" w:hAnsi="Cambria Math"/>
                <w:lang w:val="en-GB"/>
              </w:rPr>
              <m:t>SNR</m:t>
            </m:r>
          </m:e>
          <m:sub>
            <m:r>
              <w:rPr>
                <w:rFonts w:ascii="Cambria Math" w:hAnsi="Cambria Math"/>
                <w:lang w:val="en-GB"/>
              </w:rPr>
              <m:t>s</m:t>
            </m:r>
          </m:sub>
        </m:sSub>
        <m:r>
          <w:rPr>
            <w:rFonts w:ascii="Cambria Math" w:hAnsi="Cambria Math"/>
            <w:lang w:val="en-GB"/>
          </w:rPr>
          <m:t xml:space="preserve">+0 </m:t>
        </m:r>
        <m:r>
          <m:rPr>
            <m:sty m:val="p"/>
          </m:rPr>
          <w:rPr>
            <w:rFonts w:ascii="Cambria Math" w:hAnsi="Cambria Math"/>
            <w:lang w:val="en-GB"/>
          </w:rPr>
          <m:t>dB</m:t>
        </m:r>
      </m:oMath>
      <w:r w:rsidR="00F64944" w:rsidRPr="00F64944">
        <w:rPr>
          <w:rFonts w:eastAsiaTheme="minorEastAsia"/>
          <w:lang w:val="en-GB"/>
        </w:rPr>
        <w:t xml:space="preserve"> </w:t>
      </w:r>
    </w:p>
    <w:p w14:paraId="38DD340E" w14:textId="77777777" w:rsidR="00F64944" w:rsidRPr="00F64944" w:rsidRDefault="00F64944" w:rsidP="00F64944">
      <w:pPr>
        <w:rPr>
          <w:rFonts w:eastAsiaTheme="minorEastAsia"/>
          <w:lang w:val="en-GB"/>
        </w:rPr>
      </w:pPr>
      <w:r w:rsidRPr="00F64944">
        <w:rPr>
          <w:lang w:val="en-GB"/>
        </w:rPr>
        <w:t xml:space="preserve">where </w:t>
      </w:r>
      <w:r w:rsidRPr="00F64944">
        <w:rPr>
          <w:lang w:val="en-GB"/>
        </w:rPr>
        <w:tab/>
      </w:r>
      <m:oMath>
        <m:sSub>
          <m:sSubPr>
            <m:ctrlPr>
              <w:rPr>
                <w:rFonts w:ascii="Cambria Math" w:hAnsi="Cambria Math"/>
                <w:i/>
                <w:lang w:val="en-GB"/>
              </w:rPr>
            </m:ctrlPr>
          </m:sSubPr>
          <m:e>
            <m:r>
              <w:rPr>
                <w:rFonts w:ascii="Cambria Math" w:hAnsi="Cambria Math"/>
                <w:lang w:val="en-GB"/>
              </w:rPr>
              <m:t>SNR</m:t>
            </m:r>
          </m:e>
          <m:sub>
            <m:r>
              <w:rPr>
                <w:rFonts w:ascii="Cambria Math" w:hAnsi="Cambria Math"/>
                <w:lang w:val="en-GB"/>
              </w:rPr>
              <m:t>t</m:t>
            </m:r>
          </m:sub>
        </m:sSub>
      </m:oMath>
      <w:r w:rsidRPr="00F64944">
        <w:rPr>
          <w:rFonts w:eastAsiaTheme="minorEastAsia"/>
          <w:lang w:val="en-GB"/>
        </w:rPr>
        <w:t xml:space="preserve"> = SNR of the beam in the target cell</w:t>
      </w:r>
    </w:p>
    <w:p w14:paraId="28874CA1" w14:textId="1922E0AB" w:rsidR="00893C12" w:rsidRDefault="00F1751C" w:rsidP="00F64944">
      <w:pPr>
        <w:rPr>
          <w:lang w:val="en-GB"/>
        </w:rPr>
      </w:pPr>
      <m:oMath>
        <m:sSub>
          <m:sSubPr>
            <m:ctrlPr>
              <w:rPr>
                <w:rFonts w:ascii="Cambria Math" w:hAnsi="Cambria Math"/>
                <w:i/>
                <w:lang w:val="en-GB"/>
              </w:rPr>
            </m:ctrlPr>
          </m:sSubPr>
          <m:e>
            <m:r>
              <w:rPr>
                <w:rFonts w:ascii="Cambria Math" w:hAnsi="Cambria Math"/>
                <w:lang w:val="en-GB"/>
              </w:rPr>
              <m:t>SNR</m:t>
            </m:r>
          </m:e>
          <m:sub>
            <m:r>
              <w:rPr>
                <w:rFonts w:ascii="Cambria Math" w:hAnsi="Cambria Math"/>
                <w:lang w:val="en-GB"/>
              </w:rPr>
              <m:t>s</m:t>
            </m:r>
          </m:sub>
        </m:sSub>
      </m:oMath>
      <w:r w:rsidR="00F64944" w:rsidRPr="00F64944">
        <w:rPr>
          <w:rFonts w:eastAsiaTheme="minorEastAsia"/>
          <w:lang w:val="en-GB"/>
        </w:rPr>
        <w:t xml:space="preserve"> = SNR of the current beam in the serving cell</w:t>
      </w:r>
      <w:r w:rsidR="00F64944" w:rsidRPr="00F64944">
        <w:rPr>
          <w:lang w:val="en-GB"/>
        </w:rPr>
        <w:t xml:space="preserve">  </w:t>
      </w:r>
    </w:p>
    <w:p w14:paraId="01FEE9B7" w14:textId="77777777" w:rsidR="00F64944" w:rsidRPr="00F64944" w:rsidRDefault="00F64944" w:rsidP="00F64944">
      <w:pPr>
        <w:rPr>
          <w:lang w:val="en-GB"/>
        </w:rPr>
      </w:pPr>
      <w:r w:rsidRPr="00F64944">
        <w:rPr>
          <w:lang w:val="en-GB"/>
        </w:rPr>
        <w:t xml:space="preserve">Let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s</m:t>
            </m:r>
          </m:sub>
        </m:sSub>
      </m:oMath>
      <w:r w:rsidRPr="00F64944">
        <w:rPr>
          <w:lang w:val="en-GB"/>
        </w:rPr>
        <w:t xml:space="preserve"> and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t</m:t>
            </m:r>
          </m:sub>
        </m:sSub>
      </m:oMath>
      <w:r w:rsidRPr="00F64944">
        <w:rPr>
          <w:lang w:val="en-GB"/>
        </w:rPr>
        <w:t xml:space="preserve"> be the line of sight propagation distance from the serving RRH and target RRH to the switching point, respectively, then the above SNR equation becomes </w:t>
      </w:r>
    </w:p>
    <w:p w14:paraId="2B58B48C" w14:textId="482CDD43" w:rsidR="00F64944" w:rsidRPr="00F64944" w:rsidRDefault="00F1751C" w:rsidP="00F64944">
      <w:pPr>
        <w:rPr>
          <w:lang w:val="en-GB"/>
        </w:rPr>
      </w:pPr>
      <m:oMath>
        <m:sSub>
          <m:sSubPr>
            <m:ctrlPr>
              <w:rPr>
                <w:rFonts w:ascii="Cambria Math" w:hAnsi="Cambria Math"/>
                <w:i/>
                <w:lang w:val="en-GB"/>
              </w:rPr>
            </m:ctrlPr>
          </m:sSubPr>
          <m:e>
            <m:r>
              <w:rPr>
                <w:rFonts w:ascii="Cambria Math" w:hAnsi="Cambria Math"/>
                <w:lang w:val="en-GB"/>
              </w:rPr>
              <m:t>SNR</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SNR</m:t>
            </m:r>
          </m:e>
          <m:sub>
            <m:r>
              <w:rPr>
                <w:rFonts w:ascii="Cambria Math" w:hAnsi="Cambria Math"/>
                <w:lang w:val="en-GB"/>
              </w:rPr>
              <m:t>s</m:t>
            </m:r>
          </m:sub>
        </m:sSub>
        <m:r>
          <w:rPr>
            <w:rFonts w:ascii="Cambria Math" w:hAnsi="Cambria Math"/>
            <w:lang w:val="en-GB"/>
          </w:rPr>
          <m:t>=10</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rPr>
                  <m:t>log</m:t>
                </m:r>
              </m:e>
              <m:sub>
                <m:r>
                  <w:rPr>
                    <w:rFonts w:ascii="Cambria Math" w:hAnsi="Cambria Math"/>
                    <w:lang w:val="en-GB"/>
                  </w:rPr>
                  <m:t>10</m:t>
                </m:r>
              </m:sub>
            </m:sSub>
          </m:fName>
          <m:e>
            <m:sSup>
              <m:sSupPr>
                <m:ctrlPr>
                  <w:rPr>
                    <w:rFonts w:ascii="Cambria Math" w:hAnsi="Cambria Math"/>
                    <w:i/>
                    <w:lang w:val="en-GB"/>
                  </w:rPr>
                </m:ctrlPr>
              </m:sSupPr>
              <m:e>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s</m:t>
                            </m:r>
                          </m:sub>
                        </m:sSub>
                      </m:num>
                      <m:den>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t</m:t>
                            </m:r>
                          </m:sub>
                        </m:sSub>
                      </m:den>
                    </m:f>
                  </m:e>
                </m:d>
              </m:e>
              <m:sup>
                <m:r>
                  <w:rPr>
                    <w:rFonts w:ascii="Cambria Math" w:hAnsi="Cambria Math"/>
                    <w:lang w:val="en-GB"/>
                  </w:rPr>
                  <m:t>2</m:t>
                </m:r>
              </m:sup>
            </m:sSup>
            <m:r>
              <w:rPr>
                <w:rFonts w:ascii="Cambria Math" w:hAnsi="Cambria Math"/>
                <w:lang w:val="en-GB"/>
              </w:rPr>
              <m:t xml:space="preserve">&gt;0 </m:t>
            </m:r>
            <m:r>
              <m:rPr>
                <m:sty m:val="p"/>
              </m:rPr>
              <w:rPr>
                <w:rFonts w:ascii="Cambria Math" w:hAnsi="Cambria Math"/>
                <w:lang w:val="en-GB"/>
              </w:rPr>
              <m:t>dB</m:t>
            </m:r>
          </m:e>
        </m:func>
      </m:oMath>
      <w:r w:rsidR="00F64944" w:rsidRPr="00F64944">
        <w:rPr>
          <w:lang w:val="en-GB"/>
        </w:rPr>
        <w:t xml:space="preserve">  </w:t>
      </w:r>
    </w:p>
    <w:p w14:paraId="05133901" w14:textId="77777777" w:rsidR="00F64944" w:rsidRPr="00F64944" w:rsidRDefault="00F64944" w:rsidP="00F64944">
      <w:pPr>
        <w:rPr>
          <w:rFonts w:eastAsiaTheme="minorEastAsia"/>
          <w:lang w:val="en-GB"/>
        </w:rPr>
      </w:pPr>
      <w:r w:rsidRPr="00F64944">
        <w:rPr>
          <w:lang w:val="en-GB"/>
        </w:rPr>
        <w:t xml:space="preserve">The height of RRH and UE, inter-RRH distance and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min</m:t>
            </m:r>
          </m:sub>
        </m:sSub>
      </m:oMath>
      <w:r w:rsidRPr="00F64944">
        <w:rPr>
          <w:lang w:val="en-GB"/>
        </w:rPr>
        <w:t xml:space="preserve"> are given in Table 1.</w:t>
      </w:r>
    </w:p>
    <w:p w14:paraId="76AFD788" w14:textId="673379AF" w:rsidR="00F64944" w:rsidRDefault="00F64944" w:rsidP="00F64944">
      <w:pPr>
        <w:spacing w:after="60"/>
        <w:ind w:left="1440" w:firstLine="720"/>
        <w:rPr>
          <w:lang w:val="en-GB"/>
        </w:rPr>
      </w:pPr>
      <w:r w:rsidRPr="00F64944">
        <w:rPr>
          <w:rFonts w:eastAsiaTheme="minorEastAsia"/>
          <w:lang w:val="en-GB"/>
        </w:rPr>
        <w:t>Table 1: Deployment parameters</w:t>
      </w:r>
    </w:p>
    <w:tbl>
      <w:tblPr>
        <w:tblStyle w:val="TableGrid2"/>
        <w:tblW w:w="0" w:type="auto"/>
        <w:tblLook w:val="04A0" w:firstRow="1" w:lastRow="0" w:firstColumn="1" w:lastColumn="0" w:noHBand="0" w:noVBand="1"/>
      </w:tblPr>
      <w:tblGrid>
        <w:gridCol w:w="2830"/>
        <w:gridCol w:w="3686"/>
      </w:tblGrid>
      <w:tr w:rsidR="00F64944" w:rsidRPr="00F64944" w14:paraId="77870CF3" w14:textId="77777777" w:rsidTr="00753033">
        <w:tc>
          <w:tcPr>
            <w:tcW w:w="2830" w:type="dxa"/>
          </w:tcPr>
          <w:p w14:paraId="0569FD28" w14:textId="77777777" w:rsidR="00F64944" w:rsidRPr="00F64944" w:rsidRDefault="00F64944" w:rsidP="00F64944">
            <w:pPr>
              <w:rPr>
                <w:lang w:val="en-GB"/>
              </w:rPr>
            </w:pPr>
            <w:r w:rsidRPr="00F64944">
              <w:rPr>
                <w:lang w:val="en-GB"/>
              </w:rPr>
              <w:t>Parameter</w:t>
            </w:r>
          </w:p>
        </w:tc>
        <w:tc>
          <w:tcPr>
            <w:tcW w:w="3686" w:type="dxa"/>
          </w:tcPr>
          <w:p w14:paraId="4E2188B9" w14:textId="77777777" w:rsidR="00F64944" w:rsidRPr="00F64944" w:rsidRDefault="00F64944" w:rsidP="00F64944">
            <w:pPr>
              <w:rPr>
                <w:lang w:val="en-GB"/>
              </w:rPr>
            </w:pPr>
            <w:r w:rsidRPr="00F64944">
              <w:rPr>
                <w:lang w:val="en-GB"/>
              </w:rPr>
              <w:t>Value</w:t>
            </w:r>
          </w:p>
        </w:tc>
      </w:tr>
      <w:tr w:rsidR="00F64944" w:rsidRPr="00F64944" w14:paraId="2F17432B" w14:textId="77777777" w:rsidTr="00753033">
        <w:tc>
          <w:tcPr>
            <w:tcW w:w="2830" w:type="dxa"/>
          </w:tcPr>
          <w:p w14:paraId="1308CE20" w14:textId="77777777" w:rsidR="00F64944" w:rsidRPr="00F64944" w:rsidRDefault="00F1751C" w:rsidP="00F64944">
            <w:pPr>
              <w:rPr>
                <w:lang w:val="en-GB"/>
              </w:rPr>
            </w:pP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RRH</m:t>
                  </m:r>
                </m:sub>
              </m:sSub>
            </m:oMath>
            <w:r w:rsidR="00F64944" w:rsidRPr="00F64944">
              <w:rPr>
                <w:rFonts w:eastAsiaTheme="minorEastAsia"/>
                <w:lang w:val="en-GB"/>
              </w:rPr>
              <w:t xml:space="preserve"> </w:t>
            </w:r>
          </w:p>
        </w:tc>
        <w:tc>
          <w:tcPr>
            <w:tcW w:w="3686" w:type="dxa"/>
          </w:tcPr>
          <w:p w14:paraId="53D8613D" w14:textId="77777777" w:rsidR="00F64944" w:rsidRPr="00F64944" w:rsidRDefault="00F64944" w:rsidP="00F64944">
            <w:pPr>
              <w:rPr>
                <w:lang w:val="en-GB"/>
              </w:rPr>
            </w:pPr>
            <w:r w:rsidRPr="00F64944">
              <w:rPr>
                <w:lang w:val="en-GB"/>
              </w:rPr>
              <w:t>15 m</w:t>
            </w:r>
          </w:p>
        </w:tc>
      </w:tr>
      <w:tr w:rsidR="00F64944" w:rsidRPr="00F64944" w14:paraId="703788B3" w14:textId="77777777" w:rsidTr="00753033">
        <w:tc>
          <w:tcPr>
            <w:tcW w:w="2830" w:type="dxa"/>
          </w:tcPr>
          <w:p w14:paraId="2A789294" w14:textId="77777777" w:rsidR="00F64944" w:rsidRPr="00F64944" w:rsidRDefault="00F64944" w:rsidP="00F64944">
            <w:pPr>
              <w:rPr>
                <w:lang w:val="en-GB"/>
              </w:rPr>
            </w:pPr>
            <m:oMath>
              <m:r>
                <w:rPr>
                  <w:rFonts w:ascii="Cambria Math" w:hAnsi="Cambria Math"/>
                  <w:lang w:val="en-GB"/>
                </w:rPr>
                <m:t>h</m:t>
              </m:r>
            </m:oMath>
            <w:r w:rsidRPr="00F64944">
              <w:rPr>
                <w:rFonts w:eastAsiaTheme="minorEastAsia"/>
                <w:lang w:val="en-GB"/>
              </w:rPr>
              <w:t xml:space="preserve"> </w:t>
            </w:r>
          </w:p>
        </w:tc>
        <w:tc>
          <w:tcPr>
            <w:tcW w:w="3686" w:type="dxa"/>
          </w:tcPr>
          <w:p w14:paraId="6E9BF5F4" w14:textId="77777777" w:rsidR="00F64944" w:rsidRPr="00F64944" w:rsidRDefault="00F64944" w:rsidP="00F64944">
            <w:pPr>
              <w:rPr>
                <w:lang w:val="en-GB"/>
              </w:rPr>
            </w:pPr>
            <w:r w:rsidRPr="00F64944">
              <w:rPr>
                <w:lang w:val="en-GB"/>
              </w:rPr>
              <w:t>5 m</w:t>
            </w:r>
          </w:p>
        </w:tc>
      </w:tr>
      <w:tr w:rsidR="00F64944" w:rsidRPr="00F64944" w14:paraId="2226E5D8" w14:textId="77777777" w:rsidTr="00753033">
        <w:tc>
          <w:tcPr>
            <w:tcW w:w="2830" w:type="dxa"/>
          </w:tcPr>
          <w:p w14:paraId="1D842CFF" w14:textId="77777777" w:rsidR="00F64944" w:rsidRPr="00F64944" w:rsidRDefault="00F1751C" w:rsidP="00F64944">
            <w:pPr>
              <w:rPr>
                <w:lang w:val="en-GB"/>
              </w:rPr>
            </w:pP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s</m:t>
                  </m:r>
                </m:sub>
              </m:sSub>
            </m:oMath>
            <w:r w:rsidR="00F64944" w:rsidRPr="00F64944">
              <w:rPr>
                <w:rFonts w:eastAsiaTheme="minorEastAsia"/>
                <w:lang w:val="en-GB"/>
              </w:rPr>
              <w:t xml:space="preserve"> </w:t>
            </w:r>
          </w:p>
        </w:tc>
        <w:tc>
          <w:tcPr>
            <w:tcW w:w="3686" w:type="dxa"/>
          </w:tcPr>
          <w:p w14:paraId="72BEF0C0" w14:textId="77777777" w:rsidR="00F64944" w:rsidRPr="00F64944" w:rsidRDefault="00F64944" w:rsidP="00F64944">
            <w:pPr>
              <w:rPr>
                <w:lang w:val="en-GB"/>
              </w:rPr>
            </w:pPr>
            <w:r w:rsidRPr="00F64944">
              <w:rPr>
                <w:lang w:val="en-GB"/>
              </w:rPr>
              <w:t>700 m</w:t>
            </w:r>
          </w:p>
        </w:tc>
      </w:tr>
      <w:tr w:rsidR="00F64944" w:rsidRPr="00F64944" w14:paraId="541B4DC5" w14:textId="77777777" w:rsidTr="00753033">
        <w:tc>
          <w:tcPr>
            <w:tcW w:w="2830" w:type="dxa"/>
          </w:tcPr>
          <w:p w14:paraId="494C5F1E" w14:textId="77777777" w:rsidR="00F64944" w:rsidRPr="00F64944" w:rsidRDefault="00F1751C" w:rsidP="00F64944">
            <w:pPr>
              <w:rPr>
                <w:rFonts w:eastAsia="Calibri" w:cs="Times New Roman"/>
                <w:lang w:val="en-GB"/>
              </w:rPr>
            </w:pPr>
            <m:oMath>
              <m:sSub>
                <m:sSubPr>
                  <m:ctrlPr>
                    <w:rPr>
                      <w:rFonts w:ascii="Cambria Math" w:eastAsia="Calibri" w:hAnsi="Cambria Math" w:cs="Times New Roman"/>
                      <w:i/>
                      <w:lang w:val="en-GB"/>
                    </w:rPr>
                  </m:ctrlPr>
                </m:sSubPr>
                <m:e>
                  <m:r>
                    <w:rPr>
                      <w:rFonts w:ascii="Cambria Math" w:eastAsia="Calibri" w:hAnsi="Cambria Math" w:cs="Times New Roman"/>
                      <w:lang w:val="en-GB"/>
                    </w:rPr>
                    <m:t>D</m:t>
                  </m:r>
                </m:e>
                <m:sub>
                  <m:r>
                    <w:rPr>
                      <w:rFonts w:ascii="Cambria Math" w:eastAsia="Calibri" w:hAnsi="Cambria Math" w:cs="Times New Roman"/>
                      <w:lang w:val="en-GB"/>
                    </w:rPr>
                    <m:t>min</m:t>
                  </m:r>
                </m:sub>
              </m:sSub>
            </m:oMath>
            <w:r w:rsidR="00F64944" w:rsidRPr="00F64944">
              <w:rPr>
                <w:rFonts w:eastAsia="Calibri" w:cs="Times New Roman"/>
                <w:lang w:val="en-GB"/>
              </w:rPr>
              <w:t xml:space="preserve"> </w:t>
            </w:r>
          </w:p>
        </w:tc>
        <w:tc>
          <w:tcPr>
            <w:tcW w:w="3686" w:type="dxa"/>
          </w:tcPr>
          <w:p w14:paraId="11E9DEF6" w14:textId="213B7FF6" w:rsidR="00F64944" w:rsidRPr="00F64944" w:rsidRDefault="00F64944" w:rsidP="00F64944">
            <w:pPr>
              <w:rPr>
                <w:lang w:val="en-GB"/>
              </w:rPr>
            </w:pPr>
            <w:r w:rsidRPr="00F64944">
              <w:rPr>
                <w:lang w:val="en-GB"/>
              </w:rPr>
              <w:t>10 m (Scenario A)</w:t>
            </w:r>
          </w:p>
        </w:tc>
      </w:tr>
    </w:tbl>
    <w:p w14:paraId="20D0CD8A" w14:textId="77777777" w:rsidR="00F64944" w:rsidRDefault="00F64944" w:rsidP="00F25B3F">
      <w:pPr>
        <w:rPr>
          <w:lang w:val="en-GB"/>
        </w:rPr>
      </w:pPr>
    </w:p>
    <w:p w14:paraId="47D2D8B8" w14:textId="6F637CB6" w:rsidR="00EF1AD1" w:rsidRPr="00EF1AD1" w:rsidRDefault="00EF1AD1" w:rsidP="00EF1AD1">
      <w:pPr>
        <w:rPr>
          <w:rFonts w:eastAsiaTheme="minorEastAsia"/>
          <w:lang w:val="en-GB"/>
        </w:rPr>
      </w:pPr>
      <w:r w:rsidRPr="00EF1AD1">
        <w:rPr>
          <w:lang w:val="en-GB"/>
        </w:rPr>
        <w:t xml:space="preserve">For Scenario A,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s_offset</m:t>
            </m:r>
          </m:sub>
        </m:sSub>
      </m:oMath>
      <w:r w:rsidRPr="00EF1AD1">
        <w:rPr>
          <w:lang w:val="en-GB"/>
        </w:rPr>
        <w:t xml:space="preserve"> = 10 m </w:t>
      </w:r>
      <w:r>
        <w:rPr>
          <w:lang w:val="en-GB"/>
        </w:rPr>
        <w:t>according to agreement in [4]</w:t>
      </w:r>
      <w:r w:rsidRPr="00EF1AD1">
        <w:rPr>
          <w:lang w:val="en-GB"/>
        </w:rPr>
        <w:t xml:space="preserve">. Using this value and the parameters in Table 1, we get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s</m:t>
            </m:r>
          </m:sub>
        </m:sSub>
        <m:r>
          <w:rPr>
            <w:rFonts w:ascii="Cambria Math" w:hAnsi="Cambria Math"/>
            <w:lang w:val="en-GB"/>
          </w:rPr>
          <m:t xml:space="preserve">=17.3 </m:t>
        </m:r>
        <m:r>
          <m:rPr>
            <m:sty m:val="p"/>
          </m:rPr>
          <w:rPr>
            <w:rFonts w:ascii="Cambria Math" w:hAnsi="Cambria Math"/>
            <w:lang w:val="en-GB"/>
          </w:rPr>
          <m:t>m</m:t>
        </m:r>
      </m:oMath>
      <w:r w:rsidRPr="00EF1AD1">
        <w:rPr>
          <w:rFonts w:eastAsiaTheme="minorEastAsia"/>
          <w:iCs/>
          <w:lang w:val="en-GB"/>
        </w:rPr>
        <w:t xml:space="preserve"> and </w:t>
      </w:r>
      <m:oMath>
        <m:sSub>
          <m:sSubPr>
            <m:ctrlPr>
              <w:rPr>
                <w:rFonts w:ascii="Cambria Math" w:eastAsiaTheme="minorEastAsia" w:hAnsi="Cambria Math"/>
                <w:i/>
                <w:iCs/>
                <w:lang w:val="en-GB"/>
              </w:rPr>
            </m:ctrlPr>
          </m:sSubPr>
          <m:e>
            <m:r>
              <w:rPr>
                <w:rFonts w:ascii="Cambria Math" w:eastAsiaTheme="minorEastAsia" w:hAnsi="Cambria Math"/>
                <w:lang w:val="en-GB"/>
              </w:rPr>
              <m:t>r</m:t>
            </m:r>
          </m:e>
          <m:sub>
            <m:r>
              <w:rPr>
                <w:rFonts w:ascii="Cambria Math" w:eastAsiaTheme="minorEastAsia" w:hAnsi="Cambria Math"/>
                <w:lang w:val="en-GB"/>
              </w:rPr>
              <m:t>t</m:t>
            </m:r>
          </m:sub>
        </m:sSub>
        <m:r>
          <w:rPr>
            <w:rFonts w:ascii="Cambria Math" w:eastAsiaTheme="minorEastAsia" w:hAnsi="Cambria Math"/>
            <w:lang w:val="en-GB"/>
          </w:rPr>
          <m:t xml:space="preserve">=710 </m:t>
        </m:r>
        <m:r>
          <m:rPr>
            <m:sty m:val="p"/>
          </m:rPr>
          <w:rPr>
            <w:rFonts w:ascii="Cambria Math" w:eastAsiaTheme="minorEastAsia" w:hAnsi="Cambria Math"/>
            <w:lang w:val="en-GB"/>
          </w:rPr>
          <m:t>m</m:t>
        </m:r>
      </m:oMath>
      <w:r w:rsidRPr="00EF1AD1">
        <w:rPr>
          <w:rFonts w:eastAsiaTheme="minorEastAsia"/>
          <w:lang w:val="en-GB"/>
        </w:rPr>
        <w:t>.</w:t>
      </w:r>
    </w:p>
    <w:p w14:paraId="7ED0EC06" w14:textId="1EB17DFB" w:rsidR="00EF1AD1" w:rsidRPr="00EF1AD1" w:rsidRDefault="00F1751C" w:rsidP="00EF1AD1">
      <w:pPr>
        <w:rPr>
          <w:rFonts w:eastAsiaTheme="minorEastAsia"/>
          <w:lang w:val="en-GB"/>
        </w:rPr>
      </w:pPr>
      <m:oMath>
        <m:sSub>
          <m:sSubPr>
            <m:ctrlPr>
              <w:rPr>
                <w:rFonts w:ascii="Cambria Math" w:hAnsi="Cambria Math"/>
                <w:i/>
                <w:lang w:val="en-GB"/>
              </w:rPr>
            </m:ctrlPr>
          </m:sSubPr>
          <m:e>
            <m:r>
              <w:rPr>
                <w:rFonts w:ascii="Cambria Math" w:hAnsi="Cambria Math"/>
                <w:lang w:val="en-GB"/>
              </w:rPr>
              <m:t>SNR</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SNR</m:t>
            </m:r>
          </m:e>
          <m:sub>
            <m:r>
              <w:rPr>
                <w:rFonts w:ascii="Cambria Math" w:hAnsi="Cambria Math"/>
                <w:lang w:val="en-GB"/>
              </w:rPr>
              <m:t>s</m:t>
            </m:r>
          </m:sub>
        </m:sSub>
        <m:r>
          <w:rPr>
            <w:rFonts w:ascii="Cambria Math" w:hAnsi="Cambria Math"/>
            <w:lang w:val="en-GB"/>
          </w:rPr>
          <m:t>=10</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rPr>
                  <m:t>log</m:t>
                </m:r>
              </m:e>
              <m:sub>
                <m:r>
                  <w:rPr>
                    <w:rFonts w:ascii="Cambria Math" w:hAnsi="Cambria Math"/>
                    <w:lang w:val="en-GB"/>
                  </w:rPr>
                  <m:t>10</m:t>
                </m:r>
              </m:sub>
            </m:sSub>
          </m:fName>
          <m:e>
            <m:sSup>
              <m:sSupPr>
                <m:ctrlPr>
                  <w:rPr>
                    <w:rFonts w:ascii="Cambria Math" w:hAnsi="Cambria Math"/>
                    <w:i/>
                    <w:lang w:val="en-GB"/>
                  </w:rPr>
                </m:ctrlPr>
              </m:sSupPr>
              <m:e>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17.3</m:t>
                        </m:r>
                      </m:num>
                      <m:den>
                        <m:r>
                          <w:rPr>
                            <w:rFonts w:ascii="Cambria Math" w:hAnsi="Cambria Math"/>
                            <w:lang w:val="en-GB"/>
                          </w:rPr>
                          <m:t>710</m:t>
                        </m:r>
                      </m:den>
                    </m:f>
                  </m:e>
                </m:d>
              </m:e>
              <m:sup>
                <m:r>
                  <w:rPr>
                    <w:rFonts w:ascii="Cambria Math" w:hAnsi="Cambria Math"/>
                    <w:lang w:val="en-GB"/>
                  </w:rPr>
                  <m:t>2</m:t>
                </m:r>
              </m:sup>
            </m:sSup>
          </m:e>
        </m:func>
        <m:r>
          <w:rPr>
            <w:rFonts w:ascii="Cambria Math" w:hAnsi="Cambria Math"/>
            <w:lang w:val="en-GB"/>
          </w:rPr>
          <m:t xml:space="preserve">=-32. 2 </m:t>
        </m:r>
        <m:r>
          <m:rPr>
            <m:sty m:val="p"/>
          </m:rPr>
          <w:rPr>
            <w:rFonts w:ascii="Cambria Math" w:hAnsi="Cambria Math"/>
            <w:lang w:val="en-GB"/>
          </w:rPr>
          <m:t>dB≪0 dB</m:t>
        </m:r>
      </m:oMath>
      <w:r w:rsidR="00EF1AD1" w:rsidRPr="00EF1AD1">
        <w:rPr>
          <w:rFonts w:eastAsiaTheme="minorEastAsia"/>
          <w:lang w:val="en-GB"/>
        </w:rPr>
        <w:t xml:space="preserve"> </w:t>
      </w:r>
    </w:p>
    <w:p w14:paraId="418D2AEA" w14:textId="77777777" w:rsidR="001B1CE1" w:rsidRDefault="001B1CE1" w:rsidP="00EF1AD1">
      <w:pPr>
        <w:rPr>
          <w:rFonts w:eastAsiaTheme="minorEastAsia"/>
          <w:lang w:val="en-GB"/>
        </w:rPr>
      </w:pPr>
    </w:p>
    <w:p w14:paraId="1DECF539" w14:textId="77777777" w:rsidR="001B1CE1" w:rsidRDefault="001B1CE1" w:rsidP="00EF1AD1">
      <w:pPr>
        <w:rPr>
          <w:rFonts w:eastAsiaTheme="minorEastAsia"/>
          <w:lang w:val="en-GB"/>
        </w:rPr>
      </w:pPr>
    </w:p>
    <w:p w14:paraId="55540F94" w14:textId="03043726" w:rsidR="001B1CE1" w:rsidRDefault="001B1CE1" w:rsidP="00EF1AD1">
      <w:pPr>
        <w:rPr>
          <w:rFonts w:eastAsiaTheme="minorEastAsia"/>
          <w:lang w:val="en-GB"/>
        </w:rPr>
      </w:pPr>
      <w:r w:rsidRPr="00F64944">
        <w:rPr>
          <w:noProof/>
        </w:rPr>
        <w:lastRenderedPageBreak/>
        <w:drawing>
          <wp:inline distT="0" distB="0" distL="0" distR="0" wp14:anchorId="53C44CA6" wp14:editId="2CBD5DB7">
            <wp:extent cx="6003290" cy="1911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3290" cy="1911985"/>
                    </a:xfrm>
                    <a:prstGeom prst="rect">
                      <a:avLst/>
                    </a:prstGeom>
                    <a:noFill/>
                    <a:ln>
                      <a:noFill/>
                    </a:ln>
                  </pic:spPr>
                </pic:pic>
              </a:graphicData>
            </a:graphic>
          </wp:inline>
        </w:drawing>
      </w:r>
    </w:p>
    <w:p w14:paraId="564273D9" w14:textId="390EA738" w:rsidR="001B1CE1" w:rsidRDefault="001B1CE1" w:rsidP="001B1CE1">
      <w:pPr>
        <w:ind w:left="720" w:firstLine="720"/>
        <w:rPr>
          <w:lang w:val="en-GB"/>
        </w:rPr>
      </w:pPr>
      <w:r>
        <w:rPr>
          <w:lang w:val="en-GB"/>
        </w:rPr>
        <w:t xml:space="preserve">Figure 2: Handover </w:t>
      </w:r>
      <w:r w:rsidR="00FB6229">
        <w:rPr>
          <w:lang w:val="en-GB"/>
        </w:rPr>
        <w:t>occurs at the</w:t>
      </w:r>
      <w:r>
        <w:rPr>
          <w:lang w:val="en-GB"/>
        </w:rPr>
        <w:t xml:space="preserve"> switching point in unidirectional scenarios</w:t>
      </w:r>
    </w:p>
    <w:p w14:paraId="2FFB9293" w14:textId="378EF6FB" w:rsidR="00EF1AD1" w:rsidRDefault="00EF1AD1" w:rsidP="00EF1AD1">
      <w:pPr>
        <w:rPr>
          <w:rFonts w:eastAsiaTheme="minorEastAsia"/>
          <w:lang w:val="en-GB"/>
        </w:rPr>
      </w:pPr>
      <w:r w:rsidRPr="00EF1AD1">
        <w:rPr>
          <w:rFonts w:eastAsiaTheme="minorEastAsia"/>
          <w:lang w:val="en-GB"/>
        </w:rPr>
        <w:t xml:space="preserve">At the switching point, the difference between the target SNR and serving SNR is huge and is significantly smaller than the </w:t>
      </w:r>
      <w:r w:rsidR="0000291B">
        <w:rPr>
          <w:rFonts w:eastAsiaTheme="minorEastAsia"/>
          <w:lang w:val="en-GB"/>
        </w:rPr>
        <w:t>0</w:t>
      </w:r>
      <w:r w:rsidRPr="00EF1AD1">
        <w:rPr>
          <w:rFonts w:eastAsiaTheme="minorEastAsia"/>
          <w:lang w:val="en-GB"/>
        </w:rPr>
        <w:t xml:space="preserve"> dB offset. As the A3 Event condition is not satisfied, handover will not be triggered at the switching point. </w:t>
      </w:r>
      <w:r w:rsidR="00145A3E">
        <w:rPr>
          <w:rFonts w:eastAsiaTheme="minorEastAsia"/>
          <w:lang w:val="en-GB"/>
        </w:rPr>
        <w:t>Our analysis is substantiated by simulation results</w:t>
      </w:r>
      <w:r w:rsidR="00D564F9">
        <w:rPr>
          <w:rFonts w:eastAsiaTheme="minorEastAsia"/>
          <w:lang w:val="en-GB"/>
        </w:rPr>
        <w:t xml:space="preserve"> as shown in Figure 3. In our simulation, </w:t>
      </w:r>
      <w:r w:rsidR="00145A3E">
        <w:rPr>
          <w:rFonts w:eastAsiaTheme="minorEastAsia"/>
          <w:lang w:val="en-GB"/>
        </w:rPr>
        <w:t xml:space="preserve">a realistic PDCCH model was used. </w:t>
      </w:r>
    </w:p>
    <w:p w14:paraId="50100BBD" w14:textId="39502639" w:rsidR="00F64944" w:rsidRPr="001B1CE1" w:rsidRDefault="001B1CE1" w:rsidP="001B1CE1">
      <w:pPr>
        <w:rPr>
          <w:rFonts w:eastAsiaTheme="minorEastAsia"/>
          <w:lang w:val="en-GB"/>
        </w:rPr>
      </w:pPr>
      <w:r>
        <w:rPr>
          <w:rFonts w:eastAsiaTheme="minorEastAsia"/>
          <w:lang w:val="en-GB"/>
        </w:rPr>
        <w:t>As shown in Figure 3, t</w:t>
      </w:r>
      <w:r w:rsidRPr="001B1CE1">
        <w:rPr>
          <w:rFonts w:eastAsiaTheme="minorEastAsia"/>
          <w:lang w:val="en-GB"/>
        </w:rPr>
        <w:t xml:space="preserve">he RSRP traces of the serving (RRH1) and target (RRH2) RRHs are </w:t>
      </w:r>
      <w:r>
        <w:rPr>
          <w:rFonts w:eastAsiaTheme="minorEastAsia"/>
          <w:lang w:val="en-GB"/>
        </w:rPr>
        <w:t xml:space="preserve">shown </w:t>
      </w:r>
      <w:r w:rsidRPr="001B1CE1">
        <w:rPr>
          <w:rFonts w:eastAsiaTheme="minorEastAsia"/>
          <w:lang w:val="en-GB"/>
        </w:rPr>
        <w:t xml:space="preserve">with different zoom levels. One can observe how good is the signal level from target RRH already much earlier than handover happens. However, the signal </w:t>
      </w:r>
      <w:r>
        <w:rPr>
          <w:rFonts w:eastAsiaTheme="minorEastAsia"/>
          <w:lang w:val="en-GB"/>
        </w:rPr>
        <w:t xml:space="preserve">level </w:t>
      </w:r>
      <w:r w:rsidRPr="001B1CE1">
        <w:rPr>
          <w:rFonts w:eastAsiaTheme="minorEastAsia"/>
          <w:lang w:val="en-GB"/>
        </w:rPr>
        <w:t xml:space="preserve">drops drastically </w:t>
      </w:r>
      <w:r>
        <w:rPr>
          <w:rFonts w:eastAsiaTheme="minorEastAsia"/>
          <w:lang w:val="en-GB"/>
        </w:rPr>
        <w:t>as the UE is approaching the serving RRH</w:t>
      </w:r>
      <w:r w:rsidRPr="001B1CE1">
        <w:rPr>
          <w:rFonts w:eastAsiaTheme="minorEastAsia"/>
          <w:lang w:val="en-GB"/>
        </w:rPr>
        <w:t>. In this trace, the handover happens early enough to transmit control messages even with realistic PDCCH model. It is also obvious that even slight delays in handover initiation will cause source RRH to drop to unreachable levels (e.g.</w:t>
      </w:r>
      <w:r>
        <w:rPr>
          <w:rFonts w:eastAsiaTheme="minorEastAsia"/>
          <w:lang w:val="en-GB"/>
        </w:rPr>
        <w:t>,</w:t>
      </w:r>
      <w:r w:rsidRPr="001B1CE1">
        <w:rPr>
          <w:rFonts w:eastAsiaTheme="minorEastAsia"/>
          <w:lang w:val="en-GB"/>
        </w:rPr>
        <w:t xml:space="preserve"> RSRP below -120 dBm).</w:t>
      </w:r>
      <w:bookmarkStart w:id="3" w:name="_Hlk92732178"/>
    </w:p>
    <w:bookmarkEnd w:id="3"/>
    <w:p w14:paraId="02B2F861" w14:textId="048B677E" w:rsidR="00F64944" w:rsidRDefault="00D564F9" w:rsidP="00F25B3F">
      <w:pPr>
        <w:rPr>
          <w:lang w:val="en-GB"/>
        </w:rPr>
      </w:pPr>
      <w:r w:rsidRPr="00EC6DEC">
        <w:rPr>
          <w:noProof/>
        </w:rPr>
        <w:drawing>
          <wp:inline distT="0" distB="0" distL="0" distR="0" wp14:anchorId="7DEB7976" wp14:editId="4D9FA126">
            <wp:extent cx="2885440" cy="1912174"/>
            <wp:effectExtent l="0" t="0" r="0" b="0"/>
            <wp:docPr id="4" name="Picture 3" descr="Chart, line chart&#10;&#10;Description automatically generated">
              <a:extLst xmlns:a="http://schemas.openxmlformats.org/drawingml/2006/main">
                <a:ext uri="{FF2B5EF4-FFF2-40B4-BE49-F238E27FC236}">
                  <a16:creationId xmlns:a16="http://schemas.microsoft.com/office/drawing/2014/main" id="{2F8CDE4E-369F-4B82-8AA9-BFF78B624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2F8CDE4E-369F-4B82-8AA9-BFF78B624A78}"/>
                        </a:ext>
                      </a:extLst>
                    </pic:cNvPr>
                    <pic:cNvPicPr>
                      <a:picLocks noChangeAspect="1"/>
                    </pic:cNvPicPr>
                  </pic:nvPicPr>
                  <pic:blipFill rotWithShape="1">
                    <a:blip r:embed="rId16"/>
                    <a:srcRect l="6749" t="4003" r="6968" b="3966"/>
                    <a:stretch/>
                  </pic:blipFill>
                  <pic:spPr bwMode="auto">
                    <a:xfrm>
                      <a:off x="0" y="0"/>
                      <a:ext cx="2930460" cy="1942009"/>
                    </a:xfrm>
                    <a:prstGeom prst="rect">
                      <a:avLst/>
                    </a:prstGeom>
                    <a:ln>
                      <a:noFill/>
                    </a:ln>
                    <a:extLst>
                      <a:ext uri="{53640926-AAD7-44D8-BBD7-CCE9431645EC}">
                        <a14:shadowObscured xmlns:a14="http://schemas.microsoft.com/office/drawing/2010/main"/>
                      </a:ext>
                    </a:extLst>
                  </pic:spPr>
                </pic:pic>
              </a:graphicData>
            </a:graphic>
          </wp:inline>
        </w:drawing>
      </w:r>
      <w:r w:rsidRPr="00EC6DEC">
        <w:rPr>
          <w:noProof/>
        </w:rPr>
        <w:drawing>
          <wp:inline distT="0" distB="0" distL="0" distR="0" wp14:anchorId="730E1154" wp14:editId="7DBBCB6F">
            <wp:extent cx="2865120" cy="1930266"/>
            <wp:effectExtent l="0" t="0" r="0" b="0"/>
            <wp:docPr id="7" name="Picture 6" descr="Chart, line chart&#10;&#10;Description automatically generated">
              <a:extLst xmlns:a="http://schemas.openxmlformats.org/drawingml/2006/main">
                <a:ext uri="{FF2B5EF4-FFF2-40B4-BE49-F238E27FC236}">
                  <a16:creationId xmlns:a16="http://schemas.microsoft.com/office/drawing/2014/main" id="{9246C203-A378-48AA-B6C6-908384EE34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9246C203-A378-48AA-B6C6-908384EE34F1}"/>
                        </a:ext>
                      </a:extLst>
                    </pic:cNvPr>
                    <pic:cNvPicPr>
                      <a:picLocks noChangeAspect="1"/>
                    </pic:cNvPicPr>
                  </pic:nvPicPr>
                  <pic:blipFill rotWithShape="1">
                    <a:blip r:embed="rId17"/>
                    <a:srcRect l="6569" t="3194" r="7275" b="3381"/>
                    <a:stretch/>
                  </pic:blipFill>
                  <pic:spPr bwMode="auto">
                    <a:xfrm>
                      <a:off x="0" y="0"/>
                      <a:ext cx="2899118" cy="1953171"/>
                    </a:xfrm>
                    <a:prstGeom prst="rect">
                      <a:avLst/>
                    </a:prstGeom>
                    <a:ln>
                      <a:noFill/>
                    </a:ln>
                    <a:extLst>
                      <a:ext uri="{53640926-AAD7-44D8-BBD7-CCE9431645EC}">
                        <a14:shadowObscured xmlns:a14="http://schemas.microsoft.com/office/drawing/2010/main"/>
                      </a:ext>
                    </a:extLst>
                  </pic:spPr>
                </pic:pic>
              </a:graphicData>
            </a:graphic>
          </wp:inline>
        </w:drawing>
      </w:r>
    </w:p>
    <w:p w14:paraId="453311EF" w14:textId="52D597A3" w:rsidR="00F64944" w:rsidRDefault="00D564F9" w:rsidP="00F25B3F">
      <w:pPr>
        <w:rPr>
          <w:lang w:val="en-GB"/>
        </w:rPr>
      </w:pPr>
      <w:r>
        <w:rPr>
          <w:lang w:val="en-GB"/>
        </w:rPr>
        <w:t xml:space="preserve">Figure 3: </w:t>
      </w:r>
      <w:r w:rsidRPr="00D564F9">
        <w:rPr>
          <w:lang w:val="en-GB"/>
        </w:rPr>
        <w:t>RSRP traces of serving and target RRHs at two different scales. Vertical lines show A3 trigger coordinate, HO complete, and source RRH location</w:t>
      </w:r>
    </w:p>
    <w:p w14:paraId="3DCA790F" w14:textId="0949EBCF" w:rsidR="00F64944" w:rsidRDefault="0008452F" w:rsidP="00F25B3F">
      <w:pPr>
        <w:rPr>
          <w:lang w:val="en-GB"/>
        </w:rPr>
      </w:pPr>
      <w:r>
        <w:rPr>
          <w:lang w:val="en-GB"/>
        </w:rPr>
        <w:t>In Figure 4, we present the simulation results for time-of-outage and mobility failure. T</w:t>
      </w:r>
      <w:r w:rsidRPr="0008452F">
        <w:rPr>
          <w:lang w:val="en-GB"/>
        </w:rPr>
        <w:t>here are significant rates of failures which happen much more often when backlobe is completely suppressed. There is some help from having very robust PDCCH transmission level. With planned SSBs, even in case of suppressed backlobe cases without DRX and DRX 40 work well, but DRX 80 has clearly too long delays to provide robust mobility.</w:t>
      </w:r>
    </w:p>
    <w:p w14:paraId="73E82C34" w14:textId="40F63627" w:rsidR="00A90AFD" w:rsidRDefault="00A90AFD" w:rsidP="00F25B3F">
      <w:pPr>
        <w:rPr>
          <w:lang w:val="en-GB"/>
        </w:rPr>
      </w:pPr>
      <w:r w:rsidRPr="00A90AFD">
        <w:rPr>
          <w:lang w:val="en-GB"/>
        </w:rPr>
        <w:t>Time-of-outage rates follow closely the mobility failure rates in relative results between cases.</w:t>
      </w:r>
    </w:p>
    <w:p w14:paraId="40884F42" w14:textId="4ABE6BD8" w:rsidR="00A90AFD" w:rsidRDefault="00A90AFD" w:rsidP="00F25B3F">
      <w:pPr>
        <w:rPr>
          <w:lang w:val="en-GB"/>
        </w:rPr>
      </w:pPr>
      <w:r w:rsidRPr="00A90AFD">
        <w:rPr>
          <w:lang w:val="en-GB"/>
        </w:rPr>
        <w:t>The sharp edge of main lobes of the serving RRH beams cause very long tails to RSRP, which is emphasized with longer DRX and non-ideal PDCCH modelling (due to failed HO commands CPE can stay in serving cell too long)</w:t>
      </w:r>
      <w:r>
        <w:rPr>
          <w:lang w:val="en-GB"/>
        </w:rPr>
        <w:t>.</w:t>
      </w:r>
    </w:p>
    <w:p w14:paraId="063C0DF2" w14:textId="77777777" w:rsidR="00A90AFD" w:rsidRDefault="00A90AFD" w:rsidP="00F25B3F">
      <w:pPr>
        <w:rPr>
          <w:lang w:val="en-GB"/>
        </w:rPr>
      </w:pPr>
    </w:p>
    <w:p w14:paraId="6CC014BF" w14:textId="238526D6" w:rsidR="001B1CE1" w:rsidRDefault="000B157C" w:rsidP="00F25B3F">
      <w:pPr>
        <w:rPr>
          <w:lang w:val="en-GB"/>
        </w:rPr>
      </w:pPr>
      <w:r>
        <w:rPr>
          <w:noProof/>
        </w:rPr>
        <w:lastRenderedPageBreak/>
        <w:drawing>
          <wp:inline distT="0" distB="0" distL="0" distR="0" wp14:anchorId="462FB336" wp14:editId="2EFB05CB">
            <wp:extent cx="3011452" cy="2268000"/>
            <wp:effectExtent l="0" t="0" r="0"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r>
        <w:rPr>
          <w:noProof/>
        </w:rPr>
        <w:drawing>
          <wp:inline distT="0" distB="0" distL="0" distR="0" wp14:anchorId="3640D9D9" wp14:editId="70F236F7">
            <wp:extent cx="3011452" cy="2268000"/>
            <wp:effectExtent l="0" t="0" r="0" b="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p>
    <w:p w14:paraId="158B1FBF" w14:textId="1B9F2D08" w:rsidR="001B1CE1" w:rsidRDefault="000B157C" w:rsidP="00F25B3F">
      <w:pPr>
        <w:rPr>
          <w:lang w:val="en-GB"/>
        </w:rPr>
      </w:pPr>
      <w:r w:rsidRPr="000B157C">
        <w:rPr>
          <w:lang w:val="en-GB"/>
        </w:rPr>
        <w:t>Figure 4: Mobility failure rates (left) and time-of-outage (right) for different DRX cycle length and PDCCH models.</w:t>
      </w:r>
    </w:p>
    <w:p w14:paraId="59605B36" w14:textId="7321B760" w:rsidR="00893C12" w:rsidRDefault="00893C12" w:rsidP="00F25B3F">
      <w:pPr>
        <w:rPr>
          <w:lang w:val="en-GB"/>
        </w:rPr>
      </w:pPr>
    </w:p>
    <w:p w14:paraId="6F84E006" w14:textId="01037124" w:rsidR="0008452F" w:rsidRDefault="0008452F" w:rsidP="0008452F">
      <w:pPr>
        <w:jc w:val="center"/>
        <w:rPr>
          <w:lang w:val="en-GB"/>
        </w:rPr>
      </w:pPr>
      <w:r>
        <w:rPr>
          <w:noProof/>
        </w:rPr>
        <w:drawing>
          <wp:inline distT="0" distB="0" distL="0" distR="0" wp14:anchorId="7C1823E7" wp14:editId="45264D1B">
            <wp:extent cx="3731676" cy="2268000"/>
            <wp:effectExtent l="0" t="0" r="254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731676" cy="2268000"/>
                    </a:xfrm>
                    <a:prstGeom prst="rect">
                      <a:avLst/>
                    </a:prstGeom>
                  </pic:spPr>
                </pic:pic>
              </a:graphicData>
            </a:graphic>
          </wp:inline>
        </w:drawing>
      </w:r>
    </w:p>
    <w:p w14:paraId="45314FAE" w14:textId="386F22B9" w:rsidR="0008452F" w:rsidRPr="00A90AFD" w:rsidRDefault="0008452F" w:rsidP="0008452F">
      <w:pPr>
        <w:ind w:left="2160" w:firstLine="720"/>
        <w:rPr>
          <w:i/>
          <w:iCs/>
          <w:lang w:val="en-GB"/>
        </w:rPr>
      </w:pPr>
      <w:r w:rsidRPr="00A90AFD">
        <w:rPr>
          <w:i/>
          <w:iCs/>
          <w:lang w:val="en-GB"/>
        </w:rPr>
        <w:t>Figure 5: Serving cell RSRP CDFs</w:t>
      </w:r>
    </w:p>
    <w:p w14:paraId="6B9042B6" w14:textId="261D711E" w:rsidR="0008452F" w:rsidRPr="00A90AFD" w:rsidRDefault="00A90AFD" w:rsidP="00F25B3F">
      <w:pPr>
        <w:rPr>
          <w:i/>
          <w:iCs/>
          <w:lang w:val="en-GB"/>
        </w:rPr>
      </w:pPr>
      <w:r w:rsidRPr="00A90AFD">
        <w:rPr>
          <w:i/>
          <w:iCs/>
          <w:lang w:val="en-GB"/>
        </w:rPr>
        <w:t>Observation 3: With planned SSB without DRX and DRX 40</w:t>
      </w:r>
      <w:r w:rsidR="00E867BA">
        <w:rPr>
          <w:i/>
          <w:iCs/>
          <w:lang w:val="en-GB"/>
        </w:rPr>
        <w:t xml:space="preserve"> ms</w:t>
      </w:r>
      <w:r w:rsidRPr="00A90AFD">
        <w:rPr>
          <w:i/>
          <w:iCs/>
          <w:lang w:val="en-GB"/>
        </w:rPr>
        <w:t xml:space="preserve"> work reasonably well, but already DRX 80</w:t>
      </w:r>
      <w:r w:rsidR="00E867BA">
        <w:rPr>
          <w:i/>
          <w:iCs/>
          <w:lang w:val="en-GB"/>
        </w:rPr>
        <w:t xml:space="preserve"> ms</w:t>
      </w:r>
      <w:r w:rsidRPr="00A90AFD">
        <w:rPr>
          <w:i/>
          <w:iCs/>
          <w:lang w:val="en-GB"/>
        </w:rPr>
        <w:t xml:space="preserve"> has clearly too long delays to provide robust mobility.</w:t>
      </w:r>
    </w:p>
    <w:p w14:paraId="48510F53" w14:textId="08E03D41" w:rsidR="000B157C" w:rsidRPr="00D768F5" w:rsidRDefault="00D768F5" w:rsidP="00F25B3F">
      <w:pPr>
        <w:rPr>
          <w:i/>
          <w:iCs/>
          <w:lang w:val="en-GB"/>
        </w:rPr>
      </w:pPr>
      <w:r w:rsidRPr="00D768F5">
        <w:rPr>
          <w:i/>
          <w:iCs/>
          <w:lang w:val="en-GB"/>
        </w:rPr>
        <w:t xml:space="preserve">Observation 4: For unidirectional Scenario A, the DRX upper bound is set to 40 ms for UE moving in the opposite direction to the RRH TX beam pointing direction and 80 ms for UE moving in the same direction as the RRH TX beam pointing direction. </w:t>
      </w:r>
    </w:p>
    <w:p w14:paraId="70EE5390" w14:textId="6CA2DD74" w:rsidR="00A90AFD" w:rsidRDefault="00E867BA" w:rsidP="00F25B3F">
      <w:r>
        <w:t>It is worth noting Observation 4 would lead to 2 different requirements depending on the UE moving direction. For simplicity, we prefer to define one common requirement for unidirectional Scenario A and set the DRX upper bound to 40 ms</w:t>
      </w:r>
      <w:r w:rsidR="00691B48">
        <w:t xml:space="preserve"> but we are open to discuss. </w:t>
      </w:r>
    </w:p>
    <w:p w14:paraId="39248E31" w14:textId="5450CA09" w:rsidR="00E867BA" w:rsidRPr="00691B48" w:rsidRDefault="00E867BA" w:rsidP="00F25B3F">
      <w:pPr>
        <w:rPr>
          <w:b/>
          <w:bCs/>
        </w:rPr>
      </w:pPr>
      <w:r w:rsidRPr="00691B48">
        <w:rPr>
          <w:b/>
          <w:bCs/>
        </w:rPr>
        <w:t xml:space="preserve">Proposal 2: </w:t>
      </w:r>
      <w:r w:rsidR="00691B48" w:rsidRPr="00691B48">
        <w:rPr>
          <w:b/>
          <w:bCs/>
        </w:rPr>
        <w:t>For unidirectional Scenario A, set the DRX upper bound to [40 ms].</w:t>
      </w:r>
    </w:p>
    <w:p w14:paraId="4F6C7226" w14:textId="77777777" w:rsidR="00D768F5" w:rsidRDefault="00D768F5" w:rsidP="00F25B3F">
      <w:pPr>
        <w:rPr>
          <w:lang w:val="en-GB"/>
        </w:rPr>
      </w:pPr>
    </w:p>
    <w:p w14:paraId="761516E1" w14:textId="77777777" w:rsidR="00CD7492" w:rsidRPr="007C00C6" w:rsidRDefault="00CD7492" w:rsidP="00A37002">
      <w:pPr>
        <w:pStyle w:val="RAN4H1"/>
      </w:pPr>
      <w:r w:rsidRPr="007C00C6">
        <w:t>Conclusion</w:t>
      </w:r>
    </w:p>
    <w:p w14:paraId="68000B61" w14:textId="1D30793D" w:rsidR="00E12881" w:rsidRDefault="00FE02D5" w:rsidP="0081444F">
      <w:pPr>
        <w:rPr>
          <w:lang w:val="en-GB"/>
        </w:rPr>
      </w:pPr>
      <w:r>
        <w:rPr>
          <w:lang w:val="en-GB"/>
        </w:rPr>
        <w:t xml:space="preserve">The document has </w:t>
      </w:r>
      <w:r w:rsidR="00292BAC">
        <w:rPr>
          <w:lang w:val="en-GB"/>
        </w:rPr>
        <w:t>discussed</w:t>
      </w:r>
      <w:r w:rsidR="00DF047F">
        <w:rPr>
          <w:lang w:val="en-GB"/>
        </w:rPr>
        <w:t xml:space="preserve"> </w:t>
      </w:r>
      <w:r w:rsidR="00E233BC">
        <w:rPr>
          <w:lang w:val="en-GB"/>
        </w:rPr>
        <w:t>the network signalling open issues. Based on our discussion, we have made the following</w:t>
      </w:r>
      <w:r w:rsidR="00292BAC">
        <w:rPr>
          <w:lang w:val="en-GB"/>
        </w:rPr>
        <w:t xml:space="preserve"> proposals</w:t>
      </w:r>
      <w:r w:rsidR="00E12881">
        <w:rPr>
          <w:lang w:val="en-GB"/>
        </w:rPr>
        <w:t>:</w:t>
      </w:r>
    </w:p>
    <w:p w14:paraId="5CA8BCD2" w14:textId="73750A3E" w:rsidR="00322DA8" w:rsidRDefault="00305128" w:rsidP="0081444F">
      <w:pPr>
        <w:rPr>
          <w:lang w:val="en-GB"/>
        </w:rPr>
      </w:pPr>
      <w:r w:rsidRPr="007D0563">
        <w:rPr>
          <w:i/>
          <w:iCs/>
          <w:lang w:val="en-GB"/>
        </w:rPr>
        <w:t xml:space="preserve">Observation 1: For deployment Scenarios A or B, </w:t>
      </w:r>
      <w:r>
        <w:rPr>
          <w:i/>
          <w:iCs/>
          <w:lang w:val="en-GB"/>
        </w:rPr>
        <w:t xml:space="preserve">uni- and bi-directional modes have </w:t>
      </w:r>
      <w:r w:rsidRPr="007D0563">
        <w:rPr>
          <w:i/>
          <w:iCs/>
          <w:lang w:val="en-GB"/>
        </w:rPr>
        <w:t>the same set of RRM requirements.</w:t>
      </w:r>
    </w:p>
    <w:p w14:paraId="38C0F7DD" w14:textId="77777777" w:rsidR="00305128" w:rsidRPr="009816D6" w:rsidRDefault="00305128" w:rsidP="00305128">
      <w:pPr>
        <w:rPr>
          <w:i/>
          <w:iCs/>
        </w:rPr>
      </w:pPr>
      <w:r w:rsidRPr="009816D6">
        <w:rPr>
          <w:i/>
          <w:iCs/>
        </w:rPr>
        <w:lastRenderedPageBreak/>
        <w:t>Observation 2: No obvious potential benefits in defining network signalling to indicate uni- or bi-directional mode.</w:t>
      </w:r>
    </w:p>
    <w:p w14:paraId="22BB61A6" w14:textId="4D4C7F75" w:rsidR="00322DA8" w:rsidRDefault="00305128" w:rsidP="00305128">
      <w:pPr>
        <w:rPr>
          <w:lang w:val="en-GB"/>
        </w:rPr>
      </w:pPr>
      <w:r w:rsidRPr="00546839">
        <w:rPr>
          <w:b/>
          <w:bCs/>
        </w:rPr>
        <w:t xml:space="preserve">Proposal 1: </w:t>
      </w:r>
      <w:r>
        <w:rPr>
          <w:b/>
          <w:bCs/>
        </w:rPr>
        <w:t>Network signalling of u</w:t>
      </w:r>
      <w:r w:rsidRPr="00546839">
        <w:rPr>
          <w:b/>
          <w:bCs/>
        </w:rPr>
        <w:t>ni- or bidirectional</w:t>
      </w:r>
      <w:r>
        <w:rPr>
          <w:b/>
          <w:bCs/>
        </w:rPr>
        <w:t xml:space="preserve"> is not needed.</w:t>
      </w:r>
    </w:p>
    <w:p w14:paraId="06819E65" w14:textId="77777777" w:rsidR="00305128" w:rsidRPr="00A90AFD" w:rsidRDefault="00305128" w:rsidP="00305128">
      <w:pPr>
        <w:rPr>
          <w:i/>
          <w:iCs/>
          <w:lang w:val="en-GB"/>
        </w:rPr>
      </w:pPr>
      <w:r w:rsidRPr="00A90AFD">
        <w:rPr>
          <w:i/>
          <w:iCs/>
          <w:lang w:val="en-GB"/>
        </w:rPr>
        <w:t>Observation 3: With planned SSB without DRX and DRX 40</w:t>
      </w:r>
      <w:r>
        <w:rPr>
          <w:i/>
          <w:iCs/>
          <w:lang w:val="en-GB"/>
        </w:rPr>
        <w:t xml:space="preserve"> ms</w:t>
      </w:r>
      <w:r w:rsidRPr="00A90AFD">
        <w:rPr>
          <w:i/>
          <w:iCs/>
          <w:lang w:val="en-GB"/>
        </w:rPr>
        <w:t xml:space="preserve"> work reasonably well, but already DRX 80</w:t>
      </w:r>
      <w:r>
        <w:rPr>
          <w:i/>
          <w:iCs/>
          <w:lang w:val="en-GB"/>
        </w:rPr>
        <w:t xml:space="preserve"> ms</w:t>
      </w:r>
      <w:r w:rsidRPr="00A90AFD">
        <w:rPr>
          <w:i/>
          <w:iCs/>
          <w:lang w:val="en-GB"/>
        </w:rPr>
        <w:t xml:space="preserve"> has clearly too long delays to provide robust mobility.</w:t>
      </w:r>
    </w:p>
    <w:p w14:paraId="35A64E00" w14:textId="77777777" w:rsidR="00305128" w:rsidRPr="00D768F5" w:rsidRDefault="00305128" w:rsidP="00305128">
      <w:pPr>
        <w:rPr>
          <w:i/>
          <w:iCs/>
          <w:lang w:val="en-GB"/>
        </w:rPr>
      </w:pPr>
      <w:r w:rsidRPr="00D768F5">
        <w:rPr>
          <w:i/>
          <w:iCs/>
          <w:lang w:val="en-GB"/>
        </w:rPr>
        <w:t xml:space="preserve">Observation 4: For unidirectional Scenario A, the DRX upper bound is set to 40 ms for UE moving in the opposite direction to the RRH TX beam pointing direction and 80 ms for UE moving in the same direction as the RRH TX beam pointing direction. </w:t>
      </w:r>
    </w:p>
    <w:p w14:paraId="4242FE42" w14:textId="6DD190B2" w:rsidR="00305128" w:rsidRPr="00305128" w:rsidRDefault="00305128" w:rsidP="0081444F">
      <w:pPr>
        <w:rPr>
          <w:b/>
          <w:bCs/>
        </w:rPr>
      </w:pPr>
      <w:r w:rsidRPr="00691B48">
        <w:rPr>
          <w:b/>
          <w:bCs/>
        </w:rPr>
        <w:t>Proposal 2: For unidirectional Scenario A, set the DRX upper bound to [40 ms].</w:t>
      </w:r>
    </w:p>
    <w:p w14:paraId="2C3FE11C" w14:textId="5DBA750B" w:rsidR="00C75242" w:rsidRDefault="00C75242" w:rsidP="00DE0BDD">
      <w:pPr>
        <w:rPr>
          <w:lang w:val="en-GB"/>
        </w:rPr>
      </w:pPr>
    </w:p>
    <w:p w14:paraId="19FC2F12" w14:textId="4405AB41" w:rsidR="003B659E" w:rsidRPr="001F4F60" w:rsidRDefault="003B659E" w:rsidP="001F4F60">
      <w:pPr>
        <w:pStyle w:val="RAN4H1"/>
      </w:pPr>
      <w:r w:rsidRPr="0095295C">
        <w:t>References</w:t>
      </w:r>
    </w:p>
    <w:p w14:paraId="3414EE64" w14:textId="29ADB8BE" w:rsidR="00473FE1" w:rsidRDefault="001F4F60" w:rsidP="00EF34CB">
      <w:pPr>
        <w:ind w:right="-22"/>
        <w:rPr>
          <w:sz w:val="18"/>
          <w:lang w:eastAsia="zh-CN"/>
        </w:rPr>
      </w:pPr>
      <w:r>
        <w:rPr>
          <w:sz w:val="18"/>
          <w:lang w:eastAsia="zh-CN"/>
        </w:rPr>
        <w:t>[</w:t>
      </w:r>
      <w:r w:rsidR="00103DB3">
        <w:rPr>
          <w:sz w:val="18"/>
          <w:lang w:eastAsia="zh-CN"/>
        </w:rPr>
        <w:t>1</w:t>
      </w:r>
      <w:r>
        <w:rPr>
          <w:sz w:val="18"/>
          <w:lang w:eastAsia="zh-CN"/>
        </w:rPr>
        <w:t xml:space="preserve">]    </w:t>
      </w:r>
      <w:r w:rsidR="008A7A5E">
        <w:rPr>
          <w:sz w:val="18"/>
          <w:lang w:eastAsia="zh-CN"/>
        </w:rPr>
        <w:t>R4-</w:t>
      </w:r>
      <w:r w:rsidR="00FE7D1F">
        <w:rPr>
          <w:sz w:val="18"/>
          <w:lang w:eastAsia="zh-CN"/>
        </w:rPr>
        <w:t>2</w:t>
      </w:r>
      <w:r w:rsidR="00A44998">
        <w:rPr>
          <w:sz w:val="18"/>
          <w:lang w:eastAsia="zh-CN"/>
        </w:rPr>
        <w:t>1</w:t>
      </w:r>
      <w:r w:rsidR="00322DA8">
        <w:rPr>
          <w:sz w:val="18"/>
          <w:lang w:eastAsia="zh-CN"/>
        </w:rPr>
        <w:t>20292</w:t>
      </w:r>
      <w:r w:rsidR="008A7A5E">
        <w:rPr>
          <w:sz w:val="18"/>
          <w:lang w:eastAsia="zh-CN"/>
        </w:rPr>
        <w:t>,</w:t>
      </w:r>
      <w:r w:rsidR="007E12E1">
        <w:rPr>
          <w:sz w:val="18"/>
          <w:lang w:eastAsia="zh-CN"/>
        </w:rPr>
        <w:t xml:space="preserve"> </w:t>
      </w:r>
      <w:r w:rsidR="00A44998">
        <w:rPr>
          <w:sz w:val="18"/>
          <w:lang w:eastAsia="zh-CN"/>
        </w:rPr>
        <w:t>W</w:t>
      </w:r>
      <w:r w:rsidR="00F42C4F">
        <w:rPr>
          <w:sz w:val="18"/>
          <w:lang w:eastAsia="zh-CN"/>
        </w:rPr>
        <w:t xml:space="preserve">F on FR2 HST RRM </w:t>
      </w:r>
      <w:r w:rsidR="009236C0">
        <w:rPr>
          <w:sz w:val="18"/>
          <w:lang w:eastAsia="zh-CN"/>
        </w:rPr>
        <w:t>(part 1)</w:t>
      </w:r>
      <w:r w:rsidR="007E12E1">
        <w:rPr>
          <w:sz w:val="18"/>
          <w:lang w:eastAsia="zh-CN"/>
        </w:rPr>
        <w:t xml:space="preserve">, </w:t>
      </w:r>
      <w:r w:rsidR="00F42C4F">
        <w:rPr>
          <w:sz w:val="18"/>
          <w:lang w:eastAsia="zh-CN"/>
        </w:rPr>
        <w:t>Nokia, Nokia Shanghai Bell</w:t>
      </w:r>
    </w:p>
    <w:p w14:paraId="2AD4C92B" w14:textId="320C82A7" w:rsidR="00E7786F" w:rsidRDefault="00377960" w:rsidP="00EF34CB">
      <w:pPr>
        <w:ind w:right="-22"/>
        <w:rPr>
          <w:sz w:val="18"/>
          <w:lang w:eastAsia="zh-CN"/>
        </w:rPr>
      </w:pPr>
      <w:r>
        <w:rPr>
          <w:sz w:val="18"/>
          <w:lang w:eastAsia="zh-CN"/>
        </w:rPr>
        <w:t xml:space="preserve">[2]    </w:t>
      </w:r>
      <w:r w:rsidR="00BC02CC">
        <w:rPr>
          <w:sz w:val="18"/>
          <w:lang w:eastAsia="zh-CN"/>
        </w:rPr>
        <w:t xml:space="preserve">R4-2120358, </w:t>
      </w:r>
      <w:r w:rsidR="00BC02CC" w:rsidRPr="00BC02CC">
        <w:rPr>
          <w:sz w:val="18"/>
          <w:lang w:eastAsia="zh-CN"/>
        </w:rPr>
        <w:t>Email discussion summary for [101-e][216] NR_HST_FR2_RRM_1</w:t>
      </w:r>
      <w:r w:rsidR="00BC02CC">
        <w:rPr>
          <w:sz w:val="18"/>
          <w:lang w:eastAsia="zh-CN"/>
        </w:rPr>
        <w:t>, Moderator (Nokia, Nokia Shanghai Bell)</w:t>
      </w:r>
    </w:p>
    <w:p w14:paraId="50081513" w14:textId="56B437A5" w:rsidR="00506D9E" w:rsidRDefault="00E7786F" w:rsidP="00EF34CB">
      <w:pPr>
        <w:ind w:right="-22"/>
        <w:rPr>
          <w:sz w:val="18"/>
          <w:lang w:eastAsia="zh-CN"/>
        </w:rPr>
      </w:pPr>
      <w:r>
        <w:rPr>
          <w:sz w:val="18"/>
          <w:lang w:eastAsia="zh-CN"/>
        </w:rPr>
        <w:t xml:space="preserve">[3]    </w:t>
      </w:r>
      <w:r w:rsidR="008F5090">
        <w:rPr>
          <w:sz w:val="18"/>
          <w:lang w:eastAsia="zh-CN"/>
        </w:rPr>
        <w:t>R4-2119168, Discussion on RRM measurement requirements for FR2 HST, Nokia, Nokia Shanghai</w:t>
      </w:r>
    </w:p>
    <w:p w14:paraId="5AC79393" w14:textId="35E0F643" w:rsidR="00EF1AD1" w:rsidRDefault="00EF1AD1" w:rsidP="00EF34CB">
      <w:pPr>
        <w:ind w:right="-22"/>
        <w:rPr>
          <w:sz w:val="18"/>
          <w:lang w:eastAsia="zh-CN"/>
        </w:rPr>
      </w:pPr>
      <w:r>
        <w:rPr>
          <w:sz w:val="18"/>
          <w:lang w:eastAsia="zh-CN"/>
        </w:rPr>
        <w:t xml:space="preserve">[4]   R4-2115725, </w:t>
      </w:r>
      <w:r w:rsidRPr="004C6E98">
        <w:rPr>
          <w:sz w:val="18"/>
          <w:lang w:eastAsia="zh-CN"/>
        </w:rPr>
        <w:t>WF on remaining issues on FR2 HST deployment scenario and channel modeling</w:t>
      </w:r>
      <w:r>
        <w:rPr>
          <w:sz w:val="18"/>
          <w:lang w:eastAsia="zh-CN"/>
        </w:rPr>
        <w:t xml:space="preserve">, Samsung </w:t>
      </w:r>
    </w:p>
    <w:p w14:paraId="37FADF7C" w14:textId="41962C5E" w:rsidR="006049BE" w:rsidRDefault="006049BE" w:rsidP="00EF34CB">
      <w:pPr>
        <w:ind w:right="-22"/>
        <w:rPr>
          <w:sz w:val="18"/>
          <w:lang w:eastAsia="zh-CN"/>
        </w:rPr>
      </w:pPr>
    </w:p>
    <w:sectPr w:rsidR="006049B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9F9F5" w14:textId="77777777" w:rsidR="00F1751C" w:rsidRDefault="00F1751C" w:rsidP="00001C9B">
      <w:pPr>
        <w:spacing w:after="0" w:line="240" w:lineRule="auto"/>
      </w:pPr>
      <w:r>
        <w:separator/>
      </w:r>
    </w:p>
  </w:endnote>
  <w:endnote w:type="continuationSeparator" w:id="0">
    <w:p w14:paraId="71F3E672" w14:textId="77777777" w:rsidR="00F1751C" w:rsidRDefault="00F1751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A9351" w14:textId="77777777" w:rsidR="00F1751C" w:rsidRDefault="00F1751C" w:rsidP="00001C9B">
      <w:pPr>
        <w:spacing w:after="0" w:line="240" w:lineRule="auto"/>
      </w:pPr>
      <w:r>
        <w:separator/>
      </w:r>
    </w:p>
  </w:footnote>
  <w:footnote w:type="continuationSeparator" w:id="0">
    <w:p w14:paraId="6C9F0DB9" w14:textId="77777777" w:rsidR="00F1751C" w:rsidRDefault="00F1751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6E3167"/>
    <w:multiLevelType w:val="hybridMultilevel"/>
    <w:tmpl w:val="1F82FF86"/>
    <w:lvl w:ilvl="0" w:tplc="C388ED9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5C217B"/>
    <w:multiLevelType w:val="multilevel"/>
    <w:tmpl w:val="FEB85E9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267C66"/>
    <w:multiLevelType w:val="hybridMultilevel"/>
    <w:tmpl w:val="D25A59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 w:numId="6">
    <w:abstractNumId w:val="6"/>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20"/>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6CB"/>
    <w:rsid w:val="00001C9B"/>
    <w:rsid w:val="0000291B"/>
    <w:rsid w:val="00004472"/>
    <w:rsid w:val="000054A1"/>
    <w:rsid w:val="00006912"/>
    <w:rsid w:val="00006A6D"/>
    <w:rsid w:val="00006EAA"/>
    <w:rsid w:val="00010820"/>
    <w:rsid w:val="00011AE0"/>
    <w:rsid w:val="00011F2C"/>
    <w:rsid w:val="00012BE4"/>
    <w:rsid w:val="00013BCB"/>
    <w:rsid w:val="00013CE7"/>
    <w:rsid w:val="00013D27"/>
    <w:rsid w:val="00014B8C"/>
    <w:rsid w:val="00015AC4"/>
    <w:rsid w:val="0001771F"/>
    <w:rsid w:val="00017E12"/>
    <w:rsid w:val="00020C6D"/>
    <w:rsid w:val="00021AE0"/>
    <w:rsid w:val="00021D00"/>
    <w:rsid w:val="000221BD"/>
    <w:rsid w:val="0002235A"/>
    <w:rsid w:val="00022423"/>
    <w:rsid w:val="0002242B"/>
    <w:rsid w:val="00022B90"/>
    <w:rsid w:val="00027CBD"/>
    <w:rsid w:val="00030330"/>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33DC"/>
    <w:rsid w:val="00053B21"/>
    <w:rsid w:val="00053B52"/>
    <w:rsid w:val="00054BD5"/>
    <w:rsid w:val="00054E11"/>
    <w:rsid w:val="000554E5"/>
    <w:rsid w:val="00055A12"/>
    <w:rsid w:val="000566DD"/>
    <w:rsid w:val="00060BEF"/>
    <w:rsid w:val="000612AB"/>
    <w:rsid w:val="00061D37"/>
    <w:rsid w:val="00062B40"/>
    <w:rsid w:val="00064E6B"/>
    <w:rsid w:val="0006635F"/>
    <w:rsid w:val="0006643C"/>
    <w:rsid w:val="00066488"/>
    <w:rsid w:val="00066C9D"/>
    <w:rsid w:val="000704E1"/>
    <w:rsid w:val="0007206E"/>
    <w:rsid w:val="00073805"/>
    <w:rsid w:val="00073A97"/>
    <w:rsid w:val="00073B2D"/>
    <w:rsid w:val="0007544C"/>
    <w:rsid w:val="00075DAD"/>
    <w:rsid w:val="00075FC9"/>
    <w:rsid w:val="00076579"/>
    <w:rsid w:val="00077145"/>
    <w:rsid w:val="00077913"/>
    <w:rsid w:val="00077A09"/>
    <w:rsid w:val="00077D5A"/>
    <w:rsid w:val="00080458"/>
    <w:rsid w:val="0008092C"/>
    <w:rsid w:val="00082DFF"/>
    <w:rsid w:val="00083103"/>
    <w:rsid w:val="0008452F"/>
    <w:rsid w:val="000846C5"/>
    <w:rsid w:val="0008478C"/>
    <w:rsid w:val="00085A7A"/>
    <w:rsid w:val="0008612A"/>
    <w:rsid w:val="00086A47"/>
    <w:rsid w:val="00087CF3"/>
    <w:rsid w:val="000900B1"/>
    <w:rsid w:val="0009013C"/>
    <w:rsid w:val="00090479"/>
    <w:rsid w:val="000909FB"/>
    <w:rsid w:val="00090BD0"/>
    <w:rsid w:val="0009165B"/>
    <w:rsid w:val="00094C80"/>
    <w:rsid w:val="00094E80"/>
    <w:rsid w:val="000959D0"/>
    <w:rsid w:val="000969A6"/>
    <w:rsid w:val="00097A18"/>
    <w:rsid w:val="00097E50"/>
    <w:rsid w:val="000A095D"/>
    <w:rsid w:val="000A0AFB"/>
    <w:rsid w:val="000A1C4D"/>
    <w:rsid w:val="000A1E08"/>
    <w:rsid w:val="000A21B8"/>
    <w:rsid w:val="000A2F2C"/>
    <w:rsid w:val="000A395D"/>
    <w:rsid w:val="000A4AD3"/>
    <w:rsid w:val="000A5856"/>
    <w:rsid w:val="000A5B92"/>
    <w:rsid w:val="000A60B1"/>
    <w:rsid w:val="000A67A8"/>
    <w:rsid w:val="000A6CDA"/>
    <w:rsid w:val="000A6E7D"/>
    <w:rsid w:val="000A776D"/>
    <w:rsid w:val="000B0056"/>
    <w:rsid w:val="000B08AC"/>
    <w:rsid w:val="000B0DAA"/>
    <w:rsid w:val="000B157C"/>
    <w:rsid w:val="000B195D"/>
    <w:rsid w:val="000B22B0"/>
    <w:rsid w:val="000B2333"/>
    <w:rsid w:val="000B2D11"/>
    <w:rsid w:val="000B31AD"/>
    <w:rsid w:val="000B3ADB"/>
    <w:rsid w:val="000B46E6"/>
    <w:rsid w:val="000B4A6B"/>
    <w:rsid w:val="000B5945"/>
    <w:rsid w:val="000B6204"/>
    <w:rsid w:val="000B7458"/>
    <w:rsid w:val="000B77BB"/>
    <w:rsid w:val="000C0930"/>
    <w:rsid w:val="000C485B"/>
    <w:rsid w:val="000C51EE"/>
    <w:rsid w:val="000C5DAA"/>
    <w:rsid w:val="000C5F8A"/>
    <w:rsid w:val="000C640E"/>
    <w:rsid w:val="000D043F"/>
    <w:rsid w:val="000D0B5B"/>
    <w:rsid w:val="000D0C91"/>
    <w:rsid w:val="000D0EBA"/>
    <w:rsid w:val="000D12C9"/>
    <w:rsid w:val="000D204C"/>
    <w:rsid w:val="000D3747"/>
    <w:rsid w:val="000D5D8E"/>
    <w:rsid w:val="000D6088"/>
    <w:rsid w:val="000D6356"/>
    <w:rsid w:val="000D7506"/>
    <w:rsid w:val="000E1137"/>
    <w:rsid w:val="000E12F3"/>
    <w:rsid w:val="000E38BD"/>
    <w:rsid w:val="000E43C1"/>
    <w:rsid w:val="000E6E49"/>
    <w:rsid w:val="000E7DFF"/>
    <w:rsid w:val="000F1479"/>
    <w:rsid w:val="000F1BCA"/>
    <w:rsid w:val="000F25FC"/>
    <w:rsid w:val="000F2D8F"/>
    <w:rsid w:val="000F3E54"/>
    <w:rsid w:val="000F48CE"/>
    <w:rsid w:val="000F7351"/>
    <w:rsid w:val="000F7E36"/>
    <w:rsid w:val="00100653"/>
    <w:rsid w:val="001006D0"/>
    <w:rsid w:val="00100C24"/>
    <w:rsid w:val="0010210D"/>
    <w:rsid w:val="00102566"/>
    <w:rsid w:val="00102B33"/>
    <w:rsid w:val="00103A70"/>
    <w:rsid w:val="00103C58"/>
    <w:rsid w:val="00103DB3"/>
    <w:rsid w:val="00104C44"/>
    <w:rsid w:val="00105EC4"/>
    <w:rsid w:val="001060BF"/>
    <w:rsid w:val="001067C1"/>
    <w:rsid w:val="00110185"/>
    <w:rsid w:val="00110A59"/>
    <w:rsid w:val="0011332A"/>
    <w:rsid w:val="00114A12"/>
    <w:rsid w:val="0011515C"/>
    <w:rsid w:val="0011550A"/>
    <w:rsid w:val="00116AC1"/>
    <w:rsid w:val="00116C46"/>
    <w:rsid w:val="00116E56"/>
    <w:rsid w:val="00116FDD"/>
    <w:rsid w:val="0011708F"/>
    <w:rsid w:val="001170E9"/>
    <w:rsid w:val="00120266"/>
    <w:rsid w:val="00120DDE"/>
    <w:rsid w:val="001218EB"/>
    <w:rsid w:val="0012268B"/>
    <w:rsid w:val="00122BA9"/>
    <w:rsid w:val="001240DA"/>
    <w:rsid w:val="00124BD3"/>
    <w:rsid w:val="0012716F"/>
    <w:rsid w:val="001273AE"/>
    <w:rsid w:val="001279BF"/>
    <w:rsid w:val="00131B03"/>
    <w:rsid w:val="00131ECB"/>
    <w:rsid w:val="00132240"/>
    <w:rsid w:val="00132573"/>
    <w:rsid w:val="0013335D"/>
    <w:rsid w:val="00133BDD"/>
    <w:rsid w:val="0013771F"/>
    <w:rsid w:val="00137928"/>
    <w:rsid w:val="00137ECD"/>
    <w:rsid w:val="00141A2B"/>
    <w:rsid w:val="00142268"/>
    <w:rsid w:val="0014355D"/>
    <w:rsid w:val="0014498A"/>
    <w:rsid w:val="00144F0E"/>
    <w:rsid w:val="0014501E"/>
    <w:rsid w:val="00145A3E"/>
    <w:rsid w:val="00146A5D"/>
    <w:rsid w:val="00152727"/>
    <w:rsid w:val="00152A6A"/>
    <w:rsid w:val="00152EDC"/>
    <w:rsid w:val="00153295"/>
    <w:rsid w:val="001542A7"/>
    <w:rsid w:val="001543A5"/>
    <w:rsid w:val="001600AD"/>
    <w:rsid w:val="00160D98"/>
    <w:rsid w:val="0016230D"/>
    <w:rsid w:val="00162527"/>
    <w:rsid w:val="001626C5"/>
    <w:rsid w:val="0016300D"/>
    <w:rsid w:val="00163713"/>
    <w:rsid w:val="001707BB"/>
    <w:rsid w:val="001723C7"/>
    <w:rsid w:val="00172DFD"/>
    <w:rsid w:val="001737AF"/>
    <w:rsid w:val="001745F8"/>
    <w:rsid w:val="001750CF"/>
    <w:rsid w:val="00175330"/>
    <w:rsid w:val="00175616"/>
    <w:rsid w:val="00175B47"/>
    <w:rsid w:val="00176671"/>
    <w:rsid w:val="00176680"/>
    <w:rsid w:val="00177C25"/>
    <w:rsid w:val="00181325"/>
    <w:rsid w:val="00182A04"/>
    <w:rsid w:val="001837FF"/>
    <w:rsid w:val="001838CF"/>
    <w:rsid w:val="00183E72"/>
    <w:rsid w:val="0018465E"/>
    <w:rsid w:val="0018505A"/>
    <w:rsid w:val="001861C0"/>
    <w:rsid w:val="001915CC"/>
    <w:rsid w:val="00191BBF"/>
    <w:rsid w:val="0019273E"/>
    <w:rsid w:val="00192E63"/>
    <w:rsid w:val="00194798"/>
    <w:rsid w:val="0019686C"/>
    <w:rsid w:val="00197EBC"/>
    <w:rsid w:val="001A02FE"/>
    <w:rsid w:val="001A1F88"/>
    <w:rsid w:val="001A2797"/>
    <w:rsid w:val="001A27EA"/>
    <w:rsid w:val="001A4FF3"/>
    <w:rsid w:val="001A6EF9"/>
    <w:rsid w:val="001A75A6"/>
    <w:rsid w:val="001A782F"/>
    <w:rsid w:val="001A7D5E"/>
    <w:rsid w:val="001B1CE1"/>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DFE"/>
    <w:rsid w:val="001D0D0E"/>
    <w:rsid w:val="001D19CF"/>
    <w:rsid w:val="001D1EE4"/>
    <w:rsid w:val="001D2822"/>
    <w:rsid w:val="001D3074"/>
    <w:rsid w:val="001D30C5"/>
    <w:rsid w:val="001D3E3E"/>
    <w:rsid w:val="001D4C4F"/>
    <w:rsid w:val="001D572A"/>
    <w:rsid w:val="001D618D"/>
    <w:rsid w:val="001D643B"/>
    <w:rsid w:val="001E147C"/>
    <w:rsid w:val="001E19F2"/>
    <w:rsid w:val="001E2239"/>
    <w:rsid w:val="001E30F6"/>
    <w:rsid w:val="001E4068"/>
    <w:rsid w:val="001E4614"/>
    <w:rsid w:val="001E72EC"/>
    <w:rsid w:val="001E7E6F"/>
    <w:rsid w:val="001F009B"/>
    <w:rsid w:val="001F2A59"/>
    <w:rsid w:val="001F3A11"/>
    <w:rsid w:val="001F4F60"/>
    <w:rsid w:val="001F5B5E"/>
    <w:rsid w:val="001F6E57"/>
    <w:rsid w:val="001F7B0E"/>
    <w:rsid w:val="001F7BF9"/>
    <w:rsid w:val="001F7C99"/>
    <w:rsid w:val="00201073"/>
    <w:rsid w:val="00201243"/>
    <w:rsid w:val="002019D4"/>
    <w:rsid w:val="00202447"/>
    <w:rsid w:val="002031A1"/>
    <w:rsid w:val="002035BB"/>
    <w:rsid w:val="00203A64"/>
    <w:rsid w:val="00204322"/>
    <w:rsid w:val="00205AB6"/>
    <w:rsid w:val="0020651D"/>
    <w:rsid w:val="00210103"/>
    <w:rsid w:val="002108D2"/>
    <w:rsid w:val="002115DC"/>
    <w:rsid w:val="00211E11"/>
    <w:rsid w:val="00212B19"/>
    <w:rsid w:val="0021396F"/>
    <w:rsid w:val="0021512E"/>
    <w:rsid w:val="00217598"/>
    <w:rsid w:val="002207F9"/>
    <w:rsid w:val="00223F97"/>
    <w:rsid w:val="0022430D"/>
    <w:rsid w:val="0022508C"/>
    <w:rsid w:val="002265F9"/>
    <w:rsid w:val="00227047"/>
    <w:rsid w:val="002270FC"/>
    <w:rsid w:val="0023207B"/>
    <w:rsid w:val="002337C0"/>
    <w:rsid w:val="00233B90"/>
    <w:rsid w:val="00234830"/>
    <w:rsid w:val="00235F5C"/>
    <w:rsid w:val="00236D67"/>
    <w:rsid w:val="00237147"/>
    <w:rsid w:val="00237CF3"/>
    <w:rsid w:val="00237EA5"/>
    <w:rsid w:val="00241026"/>
    <w:rsid w:val="002417F6"/>
    <w:rsid w:val="00242B07"/>
    <w:rsid w:val="002435FA"/>
    <w:rsid w:val="00244AC7"/>
    <w:rsid w:val="00245905"/>
    <w:rsid w:val="00245F79"/>
    <w:rsid w:val="002467D7"/>
    <w:rsid w:val="00250ABE"/>
    <w:rsid w:val="002513FF"/>
    <w:rsid w:val="0025166C"/>
    <w:rsid w:val="00251ACA"/>
    <w:rsid w:val="0025233A"/>
    <w:rsid w:val="00252B92"/>
    <w:rsid w:val="00252F4A"/>
    <w:rsid w:val="002539A4"/>
    <w:rsid w:val="002547C7"/>
    <w:rsid w:val="00256295"/>
    <w:rsid w:val="00256687"/>
    <w:rsid w:val="00256D65"/>
    <w:rsid w:val="00257252"/>
    <w:rsid w:val="002576B5"/>
    <w:rsid w:val="00257A03"/>
    <w:rsid w:val="00257E05"/>
    <w:rsid w:val="00263949"/>
    <w:rsid w:val="00264B14"/>
    <w:rsid w:val="00265AEB"/>
    <w:rsid w:val="00267C2C"/>
    <w:rsid w:val="00270223"/>
    <w:rsid w:val="002705C3"/>
    <w:rsid w:val="00271B17"/>
    <w:rsid w:val="00272370"/>
    <w:rsid w:val="00272E3D"/>
    <w:rsid w:val="00273A19"/>
    <w:rsid w:val="0027401A"/>
    <w:rsid w:val="00274F97"/>
    <w:rsid w:val="0027595E"/>
    <w:rsid w:val="00277063"/>
    <w:rsid w:val="002816FD"/>
    <w:rsid w:val="00281EF6"/>
    <w:rsid w:val="002827B4"/>
    <w:rsid w:val="00282D48"/>
    <w:rsid w:val="00282DD0"/>
    <w:rsid w:val="00283179"/>
    <w:rsid w:val="002833C2"/>
    <w:rsid w:val="00283F15"/>
    <w:rsid w:val="00284947"/>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ED8"/>
    <w:rsid w:val="002A3943"/>
    <w:rsid w:val="002A405F"/>
    <w:rsid w:val="002A4371"/>
    <w:rsid w:val="002A4709"/>
    <w:rsid w:val="002A478A"/>
    <w:rsid w:val="002A600D"/>
    <w:rsid w:val="002A65F1"/>
    <w:rsid w:val="002A7772"/>
    <w:rsid w:val="002B1566"/>
    <w:rsid w:val="002B1827"/>
    <w:rsid w:val="002B1B95"/>
    <w:rsid w:val="002B1D31"/>
    <w:rsid w:val="002B2EC6"/>
    <w:rsid w:val="002B33A1"/>
    <w:rsid w:val="002B4573"/>
    <w:rsid w:val="002B4922"/>
    <w:rsid w:val="002B4E44"/>
    <w:rsid w:val="002B4FC6"/>
    <w:rsid w:val="002B53CD"/>
    <w:rsid w:val="002C0CE3"/>
    <w:rsid w:val="002C14F0"/>
    <w:rsid w:val="002C2291"/>
    <w:rsid w:val="002C26FC"/>
    <w:rsid w:val="002C2994"/>
    <w:rsid w:val="002C2D19"/>
    <w:rsid w:val="002C45AF"/>
    <w:rsid w:val="002C488D"/>
    <w:rsid w:val="002C4CB5"/>
    <w:rsid w:val="002C5094"/>
    <w:rsid w:val="002C5BDA"/>
    <w:rsid w:val="002C656B"/>
    <w:rsid w:val="002D0360"/>
    <w:rsid w:val="002D10FA"/>
    <w:rsid w:val="002D1215"/>
    <w:rsid w:val="002D1A18"/>
    <w:rsid w:val="002D1A42"/>
    <w:rsid w:val="002D208B"/>
    <w:rsid w:val="002D2569"/>
    <w:rsid w:val="002D3326"/>
    <w:rsid w:val="002D4C55"/>
    <w:rsid w:val="002D55DE"/>
    <w:rsid w:val="002D78E0"/>
    <w:rsid w:val="002D7DF2"/>
    <w:rsid w:val="002E09AC"/>
    <w:rsid w:val="002E3B12"/>
    <w:rsid w:val="002E576A"/>
    <w:rsid w:val="002E5EF2"/>
    <w:rsid w:val="002E689F"/>
    <w:rsid w:val="002E7C32"/>
    <w:rsid w:val="002F0793"/>
    <w:rsid w:val="002F0E7E"/>
    <w:rsid w:val="002F1360"/>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05128"/>
    <w:rsid w:val="003102D1"/>
    <w:rsid w:val="00310F94"/>
    <w:rsid w:val="00311AFA"/>
    <w:rsid w:val="00311C75"/>
    <w:rsid w:val="00313627"/>
    <w:rsid w:val="0031475F"/>
    <w:rsid w:val="00315386"/>
    <w:rsid w:val="00315456"/>
    <w:rsid w:val="00315D17"/>
    <w:rsid w:val="00316B75"/>
    <w:rsid w:val="00317786"/>
    <w:rsid w:val="00317C54"/>
    <w:rsid w:val="00320DC6"/>
    <w:rsid w:val="0032279C"/>
    <w:rsid w:val="00322D1F"/>
    <w:rsid w:val="00322DA8"/>
    <w:rsid w:val="0032321A"/>
    <w:rsid w:val="00324BDC"/>
    <w:rsid w:val="00324F5D"/>
    <w:rsid w:val="00324FB5"/>
    <w:rsid w:val="00327813"/>
    <w:rsid w:val="00330A6E"/>
    <w:rsid w:val="00330FA4"/>
    <w:rsid w:val="00331161"/>
    <w:rsid w:val="0033303A"/>
    <w:rsid w:val="00335D65"/>
    <w:rsid w:val="00336A39"/>
    <w:rsid w:val="00336A93"/>
    <w:rsid w:val="00336D51"/>
    <w:rsid w:val="00336FEF"/>
    <w:rsid w:val="0033713F"/>
    <w:rsid w:val="0033727B"/>
    <w:rsid w:val="003375DF"/>
    <w:rsid w:val="00337D95"/>
    <w:rsid w:val="00340969"/>
    <w:rsid w:val="00341958"/>
    <w:rsid w:val="003429E1"/>
    <w:rsid w:val="0034323D"/>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811"/>
    <w:rsid w:val="00363CF1"/>
    <w:rsid w:val="003641B4"/>
    <w:rsid w:val="003651FB"/>
    <w:rsid w:val="00365C8F"/>
    <w:rsid w:val="00365C9F"/>
    <w:rsid w:val="003675A4"/>
    <w:rsid w:val="00367F25"/>
    <w:rsid w:val="00370A88"/>
    <w:rsid w:val="00370A8A"/>
    <w:rsid w:val="00372C63"/>
    <w:rsid w:val="00372FAD"/>
    <w:rsid w:val="0037406E"/>
    <w:rsid w:val="003766C2"/>
    <w:rsid w:val="00377960"/>
    <w:rsid w:val="00377CB5"/>
    <w:rsid w:val="0038023A"/>
    <w:rsid w:val="00380814"/>
    <w:rsid w:val="00380F28"/>
    <w:rsid w:val="00380F3D"/>
    <w:rsid w:val="00382E42"/>
    <w:rsid w:val="00383AA5"/>
    <w:rsid w:val="00383D01"/>
    <w:rsid w:val="00386A3E"/>
    <w:rsid w:val="00386B02"/>
    <w:rsid w:val="003879F0"/>
    <w:rsid w:val="0039259C"/>
    <w:rsid w:val="003952B9"/>
    <w:rsid w:val="00396575"/>
    <w:rsid w:val="00396C60"/>
    <w:rsid w:val="00396CDD"/>
    <w:rsid w:val="00397E13"/>
    <w:rsid w:val="003A1663"/>
    <w:rsid w:val="003A32BE"/>
    <w:rsid w:val="003A3368"/>
    <w:rsid w:val="003A3E07"/>
    <w:rsid w:val="003A5DC8"/>
    <w:rsid w:val="003A7E7F"/>
    <w:rsid w:val="003B15D5"/>
    <w:rsid w:val="003B2024"/>
    <w:rsid w:val="003B2843"/>
    <w:rsid w:val="003B3A9C"/>
    <w:rsid w:val="003B5A6C"/>
    <w:rsid w:val="003B659E"/>
    <w:rsid w:val="003B68A1"/>
    <w:rsid w:val="003B6BB4"/>
    <w:rsid w:val="003B6CA8"/>
    <w:rsid w:val="003C1414"/>
    <w:rsid w:val="003C1B2A"/>
    <w:rsid w:val="003C2E69"/>
    <w:rsid w:val="003C3AA1"/>
    <w:rsid w:val="003C3B53"/>
    <w:rsid w:val="003C3F2E"/>
    <w:rsid w:val="003C511B"/>
    <w:rsid w:val="003C64DD"/>
    <w:rsid w:val="003C704E"/>
    <w:rsid w:val="003C7AE8"/>
    <w:rsid w:val="003D08F7"/>
    <w:rsid w:val="003D2A0F"/>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4001E5"/>
    <w:rsid w:val="00400491"/>
    <w:rsid w:val="00400D69"/>
    <w:rsid w:val="004015B1"/>
    <w:rsid w:val="00402896"/>
    <w:rsid w:val="00403431"/>
    <w:rsid w:val="00403627"/>
    <w:rsid w:val="00403E4F"/>
    <w:rsid w:val="004042E7"/>
    <w:rsid w:val="00404315"/>
    <w:rsid w:val="00405F93"/>
    <w:rsid w:val="004061B9"/>
    <w:rsid w:val="004068D4"/>
    <w:rsid w:val="00407693"/>
    <w:rsid w:val="0040773E"/>
    <w:rsid w:val="00407813"/>
    <w:rsid w:val="00407BD6"/>
    <w:rsid w:val="00410483"/>
    <w:rsid w:val="0041187B"/>
    <w:rsid w:val="00411D0F"/>
    <w:rsid w:val="00411D28"/>
    <w:rsid w:val="00413259"/>
    <w:rsid w:val="0041366A"/>
    <w:rsid w:val="00414B0B"/>
    <w:rsid w:val="00415833"/>
    <w:rsid w:val="004178DF"/>
    <w:rsid w:val="00417AA0"/>
    <w:rsid w:val="00417CE4"/>
    <w:rsid w:val="0042026E"/>
    <w:rsid w:val="0042049A"/>
    <w:rsid w:val="0042074C"/>
    <w:rsid w:val="00421399"/>
    <w:rsid w:val="00421B66"/>
    <w:rsid w:val="004227CF"/>
    <w:rsid w:val="004229BD"/>
    <w:rsid w:val="00424578"/>
    <w:rsid w:val="004257DA"/>
    <w:rsid w:val="004260FD"/>
    <w:rsid w:val="00427C35"/>
    <w:rsid w:val="00432A79"/>
    <w:rsid w:val="00433598"/>
    <w:rsid w:val="00433735"/>
    <w:rsid w:val="00433BED"/>
    <w:rsid w:val="004356D0"/>
    <w:rsid w:val="004373C0"/>
    <w:rsid w:val="0043750A"/>
    <w:rsid w:val="00437C47"/>
    <w:rsid w:val="0044133A"/>
    <w:rsid w:val="00443969"/>
    <w:rsid w:val="0044403A"/>
    <w:rsid w:val="00444578"/>
    <w:rsid w:val="00445009"/>
    <w:rsid w:val="00446E8D"/>
    <w:rsid w:val="00446F1B"/>
    <w:rsid w:val="00446FE8"/>
    <w:rsid w:val="004503CC"/>
    <w:rsid w:val="004505FD"/>
    <w:rsid w:val="00450F60"/>
    <w:rsid w:val="00452686"/>
    <w:rsid w:val="00455884"/>
    <w:rsid w:val="00455B32"/>
    <w:rsid w:val="00455C20"/>
    <w:rsid w:val="00455F20"/>
    <w:rsid w:val="00456BD0"/>
    <w:rsid w:val="00457379"/>
    <w:rsid w:val="0045751E"/>
    <w:rsid w:val="004605BD"/>
    <w:rsid w:val="00460BDE"/>
    <w:rsid w:val="00460D51"/>
    <w:rsid w:val="00460DED"/>
    <w:rsid w:val="00462544"/>
    <w:rsid w:val="00462E1F"/>
    <w:rsid w:val="00464A80"/>
    <w:rsid w:val="00464D94"/>
    <w:rsid w:val="004654E2"/>
    <w:rsid w:val="004659CA"/>
    <w:rsid w:val="0046635B"/>
    <w:rsid w:val="00466F0F"/>
    <w:rsid w:val="004709A7"/>
    <w:rsid w:val="00471381"/>
    <w:rsid w:val="00471BD7"/>
    <w:rsid w:val="00472A7E"/>
    <w:rsid w:val="00473BD2"/>
    <w:rsid w:val="00473FE1"/>
    <w:rsid w:val="00475232"/>
    <w:rsid w:val="0047573F"/>
    <w:rsid w:val="004767BD"/>
    <w:rsid w:val="00476B85"/>
    <w:rsid w:val="00480F5B"/>
    <w:rsid w:val="00481A36"/>
    <w:rsid w:val="00482438"/>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310E"/>
    <w:rsid w:val="00495E6A"/>
    <w:rsid w:val="00496D13"/>
    <w:rsid w:val="00497398"/>
    <w:rsid w:val="004A09DD"/>
    <w:rsid w:val="004A18E6"/>
    <w:rsid w:val="004A2714"/>
    <w:rsid w:val="004A2853"/>
    <w:rsid w:val="004A3FAF"/>
    <w:rsid w:val="004A4402"/>
    <w:rsid w:val="004A5394"/>
    <w:rsid w:val="004B0193"/>
    <w:rsid w:val="004B08E1"/>
    <w:rsid w:val="004B0A2B"/>
    <w:rsid w:val="004B1BDA"/>
    <w:rsid w:val="004B4474"/>
    <w:rsid w:val="004B5246"/>
    <w:rsid w:val="004B5EAD"/>
    <w:rsid w:val="004B7716"/>
    <w:rsid w:val="004B7B4A"/>
    <w:rsid w:val="004C00D2"/>
    <w:rsid w:val="004C0B13"/>
    <w:rsid w:val="004C26D2"/>
    <w:rsid w:val="004C2A20"/>
    <w:rsid w:val="004C4509"/>
    <w:rsid w:val="004C4FD8"/>
    <w:rsid w:val="004C6E98"/>
    <w:rsid w:val="004D02EF"/>
    <w:rsid w:val="004D10F2"/>
    <w:rsid w:val="004D3346"/>
    <w:rsid w:val="004D355C"/>
    <w:rsid w:val="004D4725"/>
    <w:rsid w:val="004D4EB4"/>
    <w:rsid w:val="004D5B9D"/>
    <w:rsid w:val="004D74C4"/>
    <w:rsid w:val="004D77D7"/>
    <w:rsid w:val="004D7DDF"/>
    <w:rsid w:val="004E23A1"/>
    <w:rsid w:val="004E2584"/>
    <w:rsid w:val="004E28E3"/>
    <w:rsid w:val="004E3806"/>
    <w:rsid w:val="004E3951"/>
    <w:rsid w:val="004E45CB"/>
    <w:rsid w:val="004E512E"/>
    <w:rsid w:val="004E5E66"/>
    <w:rsid w:val="004E5EFA"/>
    <w:rsid w:val="004E6E49"/>
    <w:rsid w:val="004E7DD7"/>
    <w:rsid w:val="004E7F48"/>
    <w:rsid w:val="004F0A94"/>
    <w:rsid w:val="004F21BB"/>
    <w:rsid w:val="004F225A"/>
    <w:rsid w:val="004F2B8D"/>
    <w:rsid w:val="004F5DFC"/>
    <w:rsid w:val="00500A86"/>
    <w:rsid w:val="00500B00"/>
    <w:rsid w:val="00501205"/>
    <w:rsid w:val="0050132F"/>
    <w:rsid w:val="00501416"/>
    <w:rsid w:val="00501D20"/>
    <w:rsid w:val="00501F43"/>
    <w:rsid w:val="005034DC"/>
    <w:rsid w:val="00503A1D"/>
    <w:rsid w:val="00503B4D"/>
    <w:rsid w:val="00504EE9"/>
    <w:rsid w:val="00506A65"/>
    <w:rsid w:val="00506D48"/>
    <w:rsid w:val="00506D9E"/>
    <w:rsid w:val="00507379"/>
    <w:rsid w:val="00510471"/>
    <w:rsid w:val="00511A46"/>
    <w:rsid w:val="00511D72"/>
    <w:rsid w:val="00511E78"/>
    <w:rsid w:val="00512BF0"/>
    <w:rsid w:val="005133A4"/>
    <w:rsid w:val="00514390"/>
    <w:rsid w:val="00514B50"/>
    <w:rsid w:val="00515549"/>
    <w:rsid w:val="00521D3D"/>
    <w:rsid w:val="0052276A"/>
    <w:rsid w:val="00522E30"/>
    <w:rsid w:val="0052358F"/>
    <w:rsid w:val="00523A00"/>
    <w:rsid w:val="00523D3A"/>
    <w:rsid w:val="00524041"/>
    <w:rsid w:val="00524F13"/>
    <w:rsid w:val="00527EF5"/>
    <w:rsid w:val="00533088"/>
    <w:rsid w:val="00535D0F"/>
    <w:rsid w:val="0053681E"/>
    <w:rsid w:val="00537C22"/>
    <w:rsid w:val="00537FD7"/>
    <w:rsid w:val="00540183"/>
    <w:rsid w:val="00540939"/>
    <w:rsid w:val="00540C35"/>
    <w:rsid w:val="005424F0"/>
    <w:rsid w:val="0054295D"/>
    <w:rsid w:val="00542990"/>
    <w:rsid w:val="0054442C"/>
    <w:rsid w:val="0054554C"/>
    <w:rsid w:val="0054600B"/>
    <w:rsid w:val="00546839"/>
    <w:rsid w:val="005476F4"/>
    <w:rsid w:val="005479AF"/>
    <w:rsid w:val="00547C5F"/>
    <w:rsid w:val="005501EC"/>
    <w:rsid w:val="00550285"/>
    <w:rsid w:val="005509C0"/>
    <w:rsid w:val="00552AB3"/>
    <w:rsid w:val="005537D1"/>
    <w:rsid w:val="00553D05"/>
    <w:rsid w:val="00555299"/>
    <w:rsid w:val="005557B4"/>
    <w:rsid w:val="00555900"/>
    <w:rsid w:val="00560928"/>
    <w:rsid w:val="00561A06"/>
    <w:rsid w:val="00561FB8"/>
    <w:rsid w:val="005620C7"/>
    <w:rsid w:val="00563690"/>
    <w:rsid w:val="005638B5"/>
    <w:rsid w:val="00564A4A"/>
    <w:rsid w:val="0056520B"/>
    <w:rsid w:val="0056544A"/>
    <w:rsid w:val="005655B2"/>
    <w:rsid w:val="00566362"/>
    <w:rsid w:val="005663DF"/>
    <w:rsid w:val="005665D3"/>
    <w:rsid w:val="00570C3E"/>
    <w:rsid w:val="005718FF"/>
    <w:rsid w:val="005726A8"/>
    <w:rsid w:val="005728A1"/>
    <w:rsid w:val="005728CE"/>
    <w:rsid w:val="00573DF2"/>
    <w:rsid w:val="00574D08"/>
    <w:rsid w:val="00575298"/>
    <w:rsid w:val="005757E1"/>
    <w:rsid w:val="005763CD"/>
    <w:rsid w:val="005766EE"/>
    <w:rsid w:val="00576C40"/>
    <w:rsid w:val="0057734B"/>
    <w:rsid w:val="00580204"/>
    <w:rsid w:val="005836F8"/>
    <w:rsid w:val="00583820"/>
    <w:rsid w:val="00586850"/>
    <w:rsid w:val="00586ECF"/>
    <w:rsid w:val="00587ABF"/>
    <w:rsid w:val="0059027F"/>
    <w:rsid w:val="00590899"/>
    <w:rsid w:val="00590921"/>
    <w:rsid w:val="00590980"/>
    <w:rsid w:val="00591899"/>
    <w:rsid w:val="005918FA"/>
    <w:rsid w:val="0059233D"/>
    <w:rsid w:val="00592E5A"/>
    <w:rsid w:val="00594AEE"/>
    <w:rsid w:val="00594B94"/>
    <w:rsid w:val="0059593C"/>
    <w:rsid w:val="00595A51"/>
    <w:rsid w:val="00595DAF"/>
    <w:rsid w:val="005962F6"/>
    <w:rsid w:val="005A0238"/>
    <w:rsid w:val="005A0FA5"/>
    <w:rsid w:val="005A1E08"/>
    <w:rsid w:val="005A26BD"/>
    <w:rsid w:val="005A2BA6"/>
    <w:rsid w:val="005A2E63"/>
    <w:rsid w:val="005A4E52"/>
    <w:rsid w:val="005A4F6B"/>
    <w:rsid w:val="005A505E"/>
    <w:rsid w:val="005A6497"/>
    <w:rsid w:val="005A72AC"/>
    <w:rsid w:val="005B2202"/>
    <w:rsid w:val="005B3F37"/>
    <w:rsid w:val="005B470A"/>
    <w:rsid w:val="005B6427"/>
    <w:rsid w:val="005B7611"/>
    <w:rsid w:val="005C0693"/>
    <w:rsid w:val="005C39E4"/>
    <w:rsid w:val="005C3E0D"/>
    <w:rsid w:val="005C5180"/>
    <w:rsid w:val="005C52B2"/>
    <w:rsid w:val="005C7D53"/>
    <w:rsid w:val="005D1622"/>
    <w:rsid w:val="005D3589"/>
    <w:rsid w:val="005D55F5"/>
    <w:rsid w:val="005D74B8"/>
    <w:rsid w:val="005D76B2"/>
    <w:rsid w:val="005E0A9D"/>
    <w:rsid w:val="005E3125"/>
    <w:rsid w:val="005E4AA8"/>
    <w:rsid w:val="005E61A8"/>
    <w:rsid w:val="005F0134"/>
    <w:rsid w:val="005F1409"/>
    <w:rsid w:val="005F30EA"/>
    <w:rsid w:val="005F314A"/>
    <w:rsid w:val="005F320D"/>
    <w:rsid w:val="005F3844"/>
    <w:rsid w:val="005F4257"/>
    <w:rsid w:val="005F4A2A"/>
    <w:rsid w:val="005F4A55"/>
    <w:rsid w:val="005F4CE9"/>
    <w:rsid w:val="005F6419"/>
    <w:rsid w:val="005F7C46"/>
    <w:rsid w:val="00600FC0"/>
    <w:rsid w:val="006013CF"/>
    <w:rsid w:val="0060293E"/>
    <w:rsid w:val="00603CC5"/>
    <w:rsid w:val="00603E07"/>
    <w:rsid w:val="006049BE"/>
    <w:rsid w:val="00607750"/>
    <w:rsid w:val="006100C8"/>
    <w:rsid w:val="006105C2"/>
    <w:rsid w:val="00611779"/>
    <w:rsid w:val="00611A8A"/>
    <w:rsid w:val="00612218"/>
    <w:rsid w:val="00612A6A"/>
    <w:rsid w:val="00612D63"/>
    <w:rsid w:val="0061346C"/>
    <w:rsid w:val="006138E7"/>
    <w:rsid w:val="00614B25"/>
    <w:rsid w:val="00616AC4"/>
    <w:rsid w:val="00617400"/>
    <w:rsid w:val="00617523"/>
    <w:rsid w:val="006204D4"/>
    <w:rsid w:val="006209A3"/>
    <w:rsid w:val="00620ECB"/>
    <w:rsid w:val="00621813"/>
    <w:rsid w:val="00621B36"/>
    <w:rsid w:val="0062236A"/>
    <w:rsid w:val="00624378"/>
    <w:rsid w:val="00624509"/>
    <w:rsid w:val="00624783"/>
    <w:rsid w:val="0062582C"/>
    <w:rsid w:val="00625961"/>
    <w:rsid w:val="0062634E"/>
    <w:rsid w:val="00631525"/>
    <w:rsid w:val="00631E98"/>
    <w:rsid w:val="00632B63"/>
    <w:rsid w:val="00633C89"/>
    <w:rsid w:val="00634429"/>
    <w:rsid w:val="00634C4F"/>
    <w:rsid w:val="00635CD3"/>
    <w:rsid w:val="00636AE1"/>
    <w:rsid w:val="0064107B"/>
    <w:rsid w:val="006410FC"/>
    <w:rsid w:val="00643993"/>
    <w:rsid w:val="00644A5F"/>
    <w:rsid w:val="006452B9"/>
    <w:rsid w:val="006468FD"/>
    <w:rsid w:val="00646B99"/>
    <w:rsid w:val="00647950"/>
    <w:rsid w:val="00651FED"/>
    <w:rsid w:val="006520C0"/>
    <w:rsid w:val="00652311"/>
    <w:rsid w:val="00652372"/>
    <w:rsid w:val="0065288F"/>
    <w:rsid w:val="0065373E"/>
    <w:rsid w:val="00655F30"/>
    <w:rsid w:val="00656961"/>
    <w:rsid w:val="006576B0"/>
    <w:rsid w:val="0065795C"/>
    <w:rsid w:val="00660065"/>
    <w:rsid w:val="00660360"/>
    <w:rsid w:val="00660497"/>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0914"/>
    <w:rsid w:val="00681401"/>
    <w:rsid w:val="0068245F"/>
    <w:rsid w:val="00683182"/>
    <w:rsid w:val="00683220"/>
    <w:rsid w:val="00683C82"/>
    <w:rsid w:val="00684DF2"/>
    <w:rsid w:val="00685FCC"/>
    <w:rsid w:val="006875BD"/>
    <w:rsid w:val="00687FA0"/>
    <w:rsid w:val="00691B19"/>
    <w:rsid w:val="00691B48"/>
    <w:rsid w:val="006944C3"/>
    <w:rsid w:val="006959A1"/>
    <w:rsid w:val="00695CE2"/>
    <w:rsid w:val="006A14D9"/>
    <w:rsid w:val="006A18A0"/>
    <w:rsid w:val="006A26CB"/>
    <w:rsid w:val="006A26ED"/>
    <w:rsid w:val="006A43FF"/>
    <w:rsid w:val="006A577E"/>
    <w:rsid w:val="006A5AC8"/>
    <w:rsid w:val="006B0BFF"/>
    <w:rsid w:val="006B14A1"/>
    <w:rsid w:val="006B1931"/>
    <w:rsid w:val="006B3F27"/>
    <w:rsid w:val="006B411F"/>
    <w:rsid w:val="006B4B98"/>
    <w:rsid w:val="006B547B"/>
    <w:rsid w:val="006B5D1A"/>
    <w:rsid w:val="006B6D84"/>
    <w:rsid w:val="006B7010"/>
    <w:rsid w:val="006C01CD"/>
    <w:rsid w:val="006C0302"/>
    <w:rsid w:val="006C0505"/>
    <w:rsid w:val="006C0ECD"/>
    <w:rsid w:val="006C348C"/>
    <w:rsid w:val="006C47E5"/>
    <w:rsid w:val="006C4CCE"/>
    <w:rsid w:val="006C5119"/>
    <w:rsid w:val="006C705D"/>
    <w:rsid w:val="006C744C"/>
    <w:rsid w:val="006C77E2"/>
    <w:rsid w:val="006C7E3E"/>
    <w:rsid w:val="006D0328"/>
    <w:rsid w:val="006D0984"/>
    <w:rsid w:val="006D0D53"/>
    <w:rsid w:val="006D1BF6"/>
    <w:rsid w:val="006D31D5"/>
    <w:rsid w:val="006D3406"/>
    <w:rsid w:val="006D3448"/>
    <w:rsid w:val="006D3FC8"/>
    <w:rsid w:val="006D5014"/>
    <w:rsid w:val="006D5F9D"/>
    <w:rsid w:val="006D61D6"/>
    <w:rsid w:val="006D685F"/>
    <w:rsid w:val="006E020D"/>
    <w:rsid w:val="006E0942"/>
    <w:rsid w:val="006E2FAD"/>
    <w:rsid w:val="006E3CC0"/>
    <w:rsid w:val="006E42B4"/>
    <w:rsid w:val="006E4456"/>
    <w:rsid w:val="006E5A28"/>
    <w:rsid w:val="006E5CC8"/>
    <w:rsid w:val="006E658E"/>
    <w:rsid w:val="006E6AC6"/>
    <w:rsid w:val="006E7B62"/>
    <w:rsid w:val="006F1192"/>
    <w:rsid w:val="006F17EA"/>
    <w:rsid w:val="006F2E1B"/>
    <w:rsid w:val="006F3380"/>
    <w:rsid w:val="006F3A64"/>
    <w:rsid w:val="006F59C8"/>
    <w:rsid w:val="006F67A2"/>
    <w:rsid w:val="006F7B7D"/>
    <w:rsid w:val="0070091A"/>
    <w:rsid w:val="00700D50"/>
    <w:rsid w:val="007018B9"/>
    <w:rsid w:val="00702832"/>
    <w:rsid w:val="007037D5"/>
    <w:rsid w:val="00703911"/>
    <w:rsid w:val="007046A0"/>
    <w:rsid w:val="00704818"/>
    <w:rsid w:val="00704B6C"/>
    <w:rsid w:val="00704BEE"/>
    <w:rsid w:val="00704BF3"/>
    <w:rsid w:val="00706C57"/>
    <w:rsid w:val="0070717D"/>
    <w:rsid w:val="00707FE4"/>
    <w:rsid w:val="00710232"/>
    <w:rsid w:val="007106EF"/>
    <w:rsid w:val="007107A4"/>
    <w:rsid w:val="00712D51"/>
    <w:rsid w:val="007145FF"/>
    <w:rsid w:val="00716012"/>
    <w:rsid w:val="007162E2"/>
    <w:rsid w:val="00716434"/>
    <w:rsid w:val="0072041F"/>
    <w:rsid w:val="007216D8"/>
    <w:rsid w:val="00724007"/>
    <w:rsid w:val="00724405"/>
    <w:rsid w:val="007250B1"/>
    <w:rsid w:val="00725B99"/>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7975"/>
    <w:rsid w:val="007479EB"/>
    <w:rsid w:val="00750C36"/>
    <w:rsid w:val="00750D4F"/>
    <w:rsid w:val="007514D2"/>
    <w:rsid w:val="00751515"/>
    <w:rsid w:val="00751AB0"/>
    <w:rsid w:val="00751C62"/>
    <w:rsid w:val="00753DA5"/>
    <w:rsid w:val="00754DFF"/>
    <w:rsid w:val="007565EE"/>
    <w:rsid w:val="007569B0"/>
    <w:rsid w:val="0075762C"/>
    <w:rsid w:val="007577E6"/>
    <w:rsid w:val="007619F7"/>
    <w:rsid w:val="00761B3A"/>
    <w:rsid w:val="00761E0D"/>
    <w:rsid w:val="00764420"/>
    <w:rsid w:val="00764427"/>
    <w:rsid w:val="007651B8"/>
    <w:rsid w:val="00765C49"/>
    <w:rsid w:val="00765E45"/>
    <w:rsid w:val="007702C8"/>
    <w:rsid w:val="00771D5E"/>
    <w:rsid w:val="00773BE2"/>
    <w:rsid w:val="00773CD5"/>
    <w:rsid w:val="00775586"/>
    <w:rsid w:val="00775EE5"/>
    <w:rsid w:val="00775F01"/>
    <w:rsid w:val="00780C55"/>
    <w:rsid w:val="00780D7A"/>
    <w:rsid w:val="007827BB"/>
    <w:rsid w:val="00785176"/>
    <w:rsid w:val="00785232"/>
    <w:rsid w:val="00785E4C"/>
    <w:rsid w:val="00790800"/>
    <w:rsid w:val="007934DF"/>
    <w:rsid w:val="00793961"/>
    <w:rsid w:val="00793AB8"/>
    <w:rsid w:val="0079652D"/>
    <w:rsid w:val="00796B9D"/>
    <w:rsid w:val="0079786F"/>
    <w:rsid w:val="00797A34"/>
    <w:rsid w:val="007A2A81"/>
    <w:rsid w:val="007A3568"/>
    <w:rsid w:val="007B0EF1"/>
    <w:rsid w:val="007B29D9"/>
    <w:rsid w:val="007B2FB8"/>
    <w:rsid w:val="007B6470"/>
    <w:rsid w:val="007C00C6"/>
    <w:rsid w:val="007C1C66"/>
    <w:rsid w:val="007C2EDE"/>
    <w:rsid w:val="007C3ED0"/>
    <w:rsid w:val="007C42A9"/>
    <w:rsid w:val="007C5B90"/>
    <w:rsid w:val="007C61EB"/>
    <w:rsid w:val="007C6E45"/>
    <w:rsid w:val="007D002E"/>
    <w:rsid w:val="007D02F8"/>
    <w:rsid w:val="007D0563"/>
    <w:rsid w:val="007D185B"/>
    <w:rsid w:val="007D2858"/>
    <w:rsid w:val="007D76F1"/>
    <w:rsid w:val="007D7AF6"/>
    <w:rsid w:val="007E0044"/>
    <w:rsid w:val="007E00D8"/>
    <w:rsid w:val="007E0F07"/>
    <w:rsid w:val="007E0F7C"/>
    <w:rsid w:val="007E10B9"/>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7638"/>
    <w:rsid w:val="007F7CFC"/>
    <w:rsid w:val="00800336"/>
    <w:rsid w:val="00801EAD"/>
    <w:rsid w:val="00803AE2"/>
    <w:rsid w:val="00804B9B"/>
    <w:rsid w:val="00804C2B"/>
    <w:rsid w:val="008059BA"/>
    <w:rsid w:val="00806613"/>
    <w:rsid w:val="00806A76"/>
    <w:rsid w:val="00806EFB"/>
    <w:rsid w:val="008072D4"/>
    <w:rsid w:val="00811645"/>
    <w:rsid w:val="00811C9D"/>
    <w:rsid w:val="00811F5A"/>
    <w:rsid w:val="00812AA0"/>
    <w:rsid w:val="00812AC5"/>
    <w:rsid w:val="00813098"/>
    <w:rsid w:val="00813190"/>
    <w:rsid w:val="0081444F"/>
    <w:rsid w:val="0081571F"/>
    <w:rsid w:val="00815E38"/>
    <w:rsid w:val="00815F63"/>
    <w:rsid w:val="00816266"/>
    <w:rsid w:val="0081676E"/>
    <w:rsid w:val="008169C8"/>
    <w:rsid w:val="00816C80"/>
    <w:rsid w:val="00822940"/>
    <w:rsid w:val="00822B12"/>
    <w:rsid w:val="00825270"/>
    <w:rsid w:val="008268DB"/>
    <w:rsid w:val="00826BC8"/>
    <w:rsid w:val="008302E0"/>
    <w:rsid w:val="00830687"/>
    <w:rsid w:val="0083117D"/>
    <w:rsid w:val="008313D5"/>
    <w:rsid w:val="00832DC9"/>
    <w:rsid w:val="00833859"/>
    <w:rsid w:val="00833933"/>
    <w:rsid w:val="00836B73"/>
    <w:rsid w:val="00841BCD"/>
    <w:rsid w:val="00841CB1"/>
    <w:rsid w:val="00842FE0"/>
    <w:rsid w:val="008454FF"/>
    <w:rsid w:val="0084551E"/>
    <w:rsid w:val="0085056D"/>
    <w:rsid w:val="00850995"/>
    <w:rsid w:val="00850FCE"/>
    <w:rsid w:val="00851E59"/>
    <w:rsid w:val="00852C94"/>
    <w:rsid w:val="00853CC3"/>
    <w:rsid w:val="00853E73"/>
    <w:rsid w:val="0085491C"/>
    <w:rsid w:val="00856AF4"/>
    <w:rsid w:val="00857452"/>
    <w:rsid w:val="008576CB"/>
    <w:rsid w:val="00862F78"/>
    <w:rsid w:val="0086352B"/>
    <w:rsid w:val="00865D3C"/>
    <w:rsid w:val="0086773A"/>
    <w:rsid w:val="00870738"/>
    <w:rsid w:val="0087167F"/>
    <w:rsid w:val="00872A8C"/>
    <w:rsid w:val="0087352E"/>
    <w:rsid w:val="008748B6"/>
    <w:rsid w:val="00877127"/>
    <w:rsid w:val="008800C6"/>
    <w:rsid w:val="00882176"/>
    <w:rsid w:val="00882448"/>
    <w:rsid w:val="008826C1"/>
    <w:rsid w:val="008830C3"/>
    <w:rsid w:val="0088316E"/>
    <w:rsid w:val="00884F2E"/>
    <w:rsid w:val="00885C63"/>
    <w:rsid w:val="008871FA"/>
    <w:rsid w:val="00890BBF"/>
    <w:rsid w:val="00893C12"/>
    <w:rsid w:val="00896545"/>
    <w:rsid w:val="0089664A"/>
    <w:rsid w:val="00896E0B"/>
    <w:rsid w:val="00896E4D"/>
    <w:rsid w:val="00896EFC"/>
    <w:rsid w:val="00897C36"/>
    <w:rsid w:val="008A142F"/>
    <w:rsid w:val="008A1457"/>
    <w:rsid w:val="008A16AE"/>
    <w:rsid w:val="008A17B6"/>
    <w:rsid w:val="008A48A6"/>
    <w:rsid w:val="008A4B38"/>
    <w:rsid w:val="008A50F3"/>
    <w:rsid w:val="008A552B"/>
    <w:rsid w:val="008A5689"/>
    <w:rsid w:val="008A6549"/>
    <w:rsid w:val="008A7A5E"/>
    <w:rsid w:val="008B01AE"/>
    <w:rsid w:val="008B0CA7"/>
    <w:rsid w:val="008B1D66"/>
    <w:rsid w:val="008B21E2"/>
    <w:rsid w:val="008B51F5"/>
    <w:rsid w:val="008B5381"/>
    <w:rsid w:val="008B6C06"/>
    <w:rsid w:val="008C040E"/>
    <w:rsid w:val="008C06A2"/>
    <w:rsid w:val="008C121F"/>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5209"/>
    <w:rsid w:val="008D58FB"/>
    <w:rsid w:val="008D7200"/>
    <w:rsid w:val="008E04D7"/>
    <w:rsid w:val="008E054A"/>
    <w:rsid w:val="008E088A"/>
    <w:rsid w:val="008E09A8"/>
    <w:rsid w:val="008E09BB"/>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3F5E"/>
    <w:rsid w:val="008F401E"/>
    <w:rsid w:val="008F5090"/>
    <w:rsid w:val="008F6B5C"/>
    <w:rsid w:val="008F724E"/>
    <w:rsid w:val="00900558"/>
    <w:rsid w:val="0090199E"/>
    <w:rsid w:val="00901B6C"/>
    <w:rsid w:val="0090330D"/>
    <w:rsid w:val="009042BD"/>
    <w:rsid w:val="0090594F"/>
    <w:rsid w:val="0090657F"/>
    <w:rsid w:val="009066E6"/>
    <w:rsid w:val="00907E74"/>
    <w:rsid w:val="00910677"/>
    <w:rsid w:val="0091083C"/>
    <w:rsid w:val="00911567"/>
    <w:rsid w:val="00911B1B"/>
    <w:rsid w:val="009131D1"/>
    <w:rsid w:val="009137E8"/>
    <w:rsid w:val="00913AF0"/>
    <w:rsid w:val="009144DE"/>
    <w:rsid w:val="00914C52"/>
    <w:rsid w:val="009150F5"/>
    <w:rsid w:val="0091587B"/>
    <w:rsid w:val="00915974"/>
    <w:rsid w:val="0091651A"/>
    <w:rsid w:val="009169CF"/>
    <w:rsid w:val="009173D8"/>
    <w:rsid w:val="00917B79"/>
    <w:rsid w:val="00917DB4"/>
    <w:rsid w:val="00920039"/>
    <w:rsid w:val="00921FB7"/>
    <w:rsid w:val="00922262"/>
    <w:rsid w:val="00922A13"/>
    <w:rsid w:val="00922C14"/>
    <w:rsid w:val="00923471"/>
    <w:rsid w:val="009236C0"/>
    <w:rsid w:val="009246BE"/>
    <w:rsid w:val="009261B0"/>
    <w:rsid w:val="00927E03"/>
    <w:rsid w:val="00932279"/>
    <w:rsid w:val="00933717"/>
    <w:rsid w:val="00934941"/>
    <w:rsid w:val="009350DC"/>
    <w:rsid w:val="009355A4"/>
    <w:rsid w:val="00937312"/>
    <w:rsid w:val="00937641"/>
    <w:rsid w:val="00940869"/>
    <w:rsid w:val="00941797"/>
    <w:rsid w:val="00942225"/>
    <w:rsid w:val="00942852"/>
    <w:rsid w:val="0094361F"/>
    <w:rsid w:val="009439BB"/>
    <w:rsid w:val="0094504D"/>
    <w:rsid w:val="009502DA"/>
    <w:rsid w:val="00954AD9"/>
    <w:rsid w:val="009555FC"/>
    <w:rsid w:val="00955C20"/>
    <w:rsid w:val="0095619E"/>
    <w:rsid w:val="00957BF8"/>
    <w:rsid w:val="00957D7B"/>
    <w:rsid w:val="00957DB9"/>
    <w:rsid w:val="0096095E"/>
    <w:rsid w:val="00961388"/>
    <w:rsid w:val="0096224F"/>
    <w:rsid w:val="009628AA"/>
    <w:rsid w:val="00962F81"/>
    <w:rsid w:val="0096752E"/>
    <w:rsid w:val="00967642"/>
    <w:rsid w:val="00967799"/>
    <w:rsid w:val="009678FF"/>
    <w:rsid w:val="00971621"/>
    <w:rsid w:val="0097324B"/>
    <w:rsid w:val="00973265"/>
    <w:rsid w:val="0097348A"/>
    <w:rsid w:val="00973E5A"/>
    <w:rsid w:val="0097512D"/>
    <w:rsid w:val="009751CA"/>
    <w:rsid w:val="00975C67"/>
    <w:rsid w:val="00975DE0"/>
    <w:rsid w:val="0097662A"/>
    <w:rsid w:val="0097694A"/>
    <w:rsid w:val="00977210"/>
    <w:rsid w:val="009774FA"/>
    <w:rsid w:val="00977E1D"/>
    <w:rsid w:val="00981375"/>
    <w:rsid w:val="009816D6"/>
    <w:rsid w:val="00982BFE"/>
    <w:rsid w:val="00983ED2"/>
    <w:rsid w:val="00984811"/>
    <w:rsid w:val="00984D67"/>
    <w:rsid w:val="009857DF"/>
    <w:rsid w:val="00985AED"/>
    <w:rsid w:val="009869C0"/>
    <w:rsid w:val="00987563"/>
    <w:rsid w:val="00987D16"/>
    <w:rsid w:val="00990F9F"/>
    <w:rsid w:val="00991685"/>
    <w:rsid w:val="009918CD"/>
    <w:rsid w:val="00991B74"/>
    <w:rsid w:val="00991F13"/>
    <w:rsid w:val="00992527"/>
    <w:rsid w:val="009931B0"/>
    <w:rsid w:val="009944D7"/>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240B"/>
    <w:rsid w:val="009B3FB0"/>
    <w:rsid w:val="009B4019"/>
    <w:rsid w:val="009B4C95"/>
    <w:rsid w:val="009B6165"/>
    <w:rsid w:val="009B6BEC"/>
    <w:rsid w:val="009B788C"/>
    <w:rsid w:val="009C0505"/>
    <w:rsid w:val="009C092D"/>
    <w:rsid w:val="009C13A6"/>
    <w:rsid w:val="009C17C0"/>
    <w:rsid w:val="009C1933"/>
    <w:rsid w:val="009C344B"/>
    <w:rsid w:val="009C36C2"/>
    <w:rsid w:val="009C3CDB"/>
    <w:rsid w:val="009C4512"/>
    <w:rsid w:val="009C4979"/>
    <w:rsid w:val="009C4AA9"/>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C54"/>
    <w:rsid w:val="009E4162"/>
    <w:rsid w:val="009E4522"/>
    <w:rsid w:val="009E657F"/>
    <w:rsid w:val="009E7EA4"/>
    <w:rsid w:val="009F1491"/>
    <w:rsid w:val="009F3288"/>
    <w:rsid w:val="009F387A"/>
    <w:rsid w:val="009F3B75"/>
    <w:rsid w:val="009F4636"/>
    <w:rsid w:val="009F656E"/>
    <w:rsid w:val="009F6752"/>
    <w:rsid w:val="009F6833"/>
    <w:rsid w:val="009F79AB"/>
    <w:rsid w:val="00A02414"/>
    <w:rsid w:val="00A03C06"/>
    <w:rsid w:val="00A07A88"/>
    <w:rsid w:val="00A07B76"/>
    <w:rsid w:val="00A07D96"/>
    <w:rsid w:val="00A10755"/>
    <w:rsid w:val="00A12D3C"/>
    <w:rsid w:val="00A12E92"/>
    <w:rsid w:val="00A131C3"/>
    <w:rsid w:val="00A13E9B"/>
    <w:rsid w:val="00A141D2"/>
    <w:rsid w:val="00A14857"/>
    <w:rsid w:val="00A16834"/>
    <w:rsid w:val="00A16F09"/>
    <w:rsid w:val="00A171C2"/>
    <w:rsid w:val="00A20CD7"/>
    <w:rsid w:val="00A2124A"/>
    <w:rsid w:val="00A22512"/>
    <w:rsid w:val="00A22B78"/>
    <w:rsid w:val="00A24DFA"/>
    <w:rsid w:val="00A25417"/>
    <w:rsid w:val="00A25ABD"/>
    <w:rsid w:val="00A25AE5"/>
    <w:rsid w:val="00A2612F"/>
    <w:rsid w:val="00A2649D"/>
    <w:rsid w:val="00A2676A"/>
    <w:rsid w:val="00A26DB8"/>
    <w:rsid w:val="00A3108A"/>
    <w:rsid w:val="00A319B2"/>
    <w:rsid w:val="00A328CF"/>
    <w:rsid w:val="00A32EBF"/>
    <w:rsid w:val="00A35B78"/>
    <w:rsid w:val="00A37002"/>
    <w:rsid w:val="00A374B6"/>
    <w:rsid w:val="00A377B7"/>
    <w:rsid w:val="00A40B75"/>
    <w:rsid w:val="00A41780"/>
    <w:rsid w:val="00A4413E"/>
    <w:rsid w:val="00A44998"/>
    <w:rsid w:val="00A44B2C"/>
    <w:rsid w:val="00A4613B"/>
    <w:rsid w:val="00A4627B"/>
    <w:rsid w:val="00A477E2"/>
    <w:rsid w:val="00A47888"/>
    <w:rsid w:val="00A47BD9"/>
    <w:rsid w:val="00A50365"/>
    <w:rsid w:val="00A51EDF"/>
    <w:rsid w:val="00A52699"/>
    <w:rsid w:val="00A528C3"/>
    <w:rsid w:val="00A52CC3"/>
    <w:rsid w:val="00A54EF4"/>
    <w:rsid w:val="00A5558D"/>
    <w:rsid w:val="00A60022"/>
    <w:rsid w:val="00A6176B"/>
    <w:rsid w:val="00A61877"/>
    <w:rsid w:val="00A61C6D"/>
    <w:rsid w:val="00A6309E"/>
    <w:rsid w:val="00A6420F"/>
    <w:rsid w:val="00A64775"/>
    <w:rsid w:val="00A7088C"/>
    <w:rsid w:val="00A71E61"/>
    <w:rsid w:val="00A72C72"/>
    <w:rsid w:val="00A7387F"/>
    <w:rsid w:val="00A74402"/>
    <w:rsid w:val="00A74AE3"/>
    <w:rsid w:val="00A74C90"/>
    <w:rsid w:val="00A757C4"/>
    <w:rsid w:val="00A75C3D"/>
    <w:rsid w:val="00A76C55"/>
    <w:rsid w:val="00A776A6"/>
    <w:rsid w:val="00A777A2"/>
    <w:rsid w:val="00A81E9C"/>
    <w:rsid w:val="00A81ECA"/>
    <w:rsid w:val="00A82181"/>
    <w:rsid w:val="00A83C92"/>
    <w:rsid w:val="00A84341"/>
    <w:rsid w:val="00A85290"/>
    <w:rsid w:val="00A90592"/>
    <w:rsid w:val="00A9084A"/>
    <w:rsid w:val="00A90AFD"/>
    <w:rsid w:val="00A90B6E"/>
    <w:rsid w:val="00A91FF9"/>
    <w:rsid w:val="00A96C71"/>
    <w:rsid w:val="00A97091"/>
    <w:rsid w:val="00A9777C"/>
    <w:rsid w:val="00A97C56"/>
    <w:rsid w:val="00AA02D9"/>
    <w:rsid w:val="00AA137F"/>
    <w:rsid w:val="00AA14A5"/>
    <w:rsid w:val="00AA1B0E"/>
    <w:rsid w:val="00AA2684"/>
    <w:rsid w:val="00AA3D1B"/>
    <w:rsid w:val="00AA3FC0"/>
    <w:rsid w:val="00AA4060"/>
    <w:rsid w:val="00AA49F5"/>
    <w:rsid w:val="00AA594B"/>
    <w:rsid w:val="00AA5CE1"/>
    <w:rsid w:val="00AA5DA1"/>
    <w:rsid w:val="00AB10FC"/>
    <w:rsid w:val="00AB1248"/>
    <w:rsid w:val="00AB2056"/>
    <w:rsid w:val="00AB2403"/>
    <w:rsid w:val="00AB258A"/>
    <w:rsid w:val="00AB40FE"/>
    <w:rsid w:val="00AB4552"/>
    <w:rsid w:val="00AB4BE0"/>
    <w:rsid w:val="00AB4F16"/>
    <w:rsid w:val="00AB5527"/>
    <w:rsid w:val="00AB5607"/>
    <w:rsid w:val="00AB57F5"/>
    <w:rsid w:val="00AB64C8"/>
    <w:rsid w:val="00AB6A8E"/>
    <w:rsid w:val="00AB7918"/>
    <w:rsid w:val="00AC2538"/>
    <w:rsid w:val="00AC2631"/>
    <w:rsid w:val="00AC54FD"/>
    <w:rsid w:val="00AC5CA7"/>
    <w:rsid w:val="00AD0021"/>
    <w:rsid w:val="00AD10A0"/>
    <w:rsid w:val="00AD16BF"/>
    <w:rsid w:val="00AD24AF"/>
    <w:rsid w:val="00AD2AB5"/>
    <w:rsid w:val="00AD2B20"/>
    <w:rsid w:val="00AD3035"/>
    <w:rsid w:val="00AD3BF8"/>
    <w:rsid w:val="00AD3E14"/>
    <w:rsid w:val="00AD4615"/>
    <w:rsid w:val="00AD5BCC"/>
    <w:rsid w:val="00AD78DB"/>
    <w:rsid w:val="00AE2C5A"/>
    <w:rsid w:val="00AE2F75"/>
    <w:rsid w:val="00AE3A3E"/>
    <w:rsid w:val="00AE56B1"/>
    <w:rsid w:val="00AE5E27"/>
    <w:rsid w:val="00AE5E54"/>
    <w:rsid w:val="00AE76D3"/>
    <w:rsid w:val="00AE78B5"/>
    <w:rsid w:val="00AE7B23"/>
    <w:rsid w:val="00AF195A"/>
    <w:rsid w:val="00AF20F7"/>
    <w:rsid w:val="00AF52AC"/>
    <w:rsid w:val="00AF53CA"/>
    <w:rsid w:val="00B01003"/>
    <w:rsid w:val="00B0212B"/>
    <w:rsid w:val="00B03E57"/>
    <w:rsid w:val="00B03FE1"/>
    <w:rsid w:val="00B061FC"/>
    <w:rsid w:val="00B07344"/>
    <w:rsid w:val="00B0760A"/>
    <w:rsid w:val="00B10CE2"/>
    <w:rsid w:val="00B1238A"/>
    <w:rsid w:val="00B13F8F"/>
    <w:rsid w:val="00B140C6"/>
    <w:rsid w:val="00B143F0"/>
    <w:rsid w:val="00B14A99"/>
    <w:rsid w:val="00B15794"/>
    <w:rsid w:val="00B1579E"/>
    <w:rsid w:val="00B15E84"/>
    <w:rsid w:val="00B16710"/>
    <w:rsid w:val="00B16C2C"/>
    <w:rsid w:val="00B2001D"/>
    <w:rsid w:val="00B204B9"/>
    <w:rsid w:val="00B216AA"/>
    <w:rsid w:val="00B239A0"/>
    <w:rsid w:val="00B24C33"/>
    <w:rsid w:val="00B274CC"/>
    <w:rsid w:val="00B27EF3"/>
    <w:rsid w:val="00B30FDC"/>
    <w:rsid w:val="00B354B4"/>
    <w:rsid w:val="00B37839"/>
    <w:rsid w:val="00B37ADB"/>
    <w:rsid w:val="00B37DE3"/>
    <w:rsid w:val="00B40A49"/>
    <w:rsid w:val="00B40EDE"/>
    <w:rsid w:val="00B4136C"/>
    <w:rsid w:val="00B4385E"/>
    <w:rsid w:val="00B4462C"/>
    <w:rsid w:val="00B45B87"/>
    <w:rsid w:val="00B46406"/>
    <w:rsid w:val="00B46E8A"/>
    <w:rsid w:val="00B47AAC"/>
    <w:rsid w:val="00B504FE"/>
    <w:rsid w:val="00B508A2"/>
    <w:rsid w:val="00B5456C"/>
    <w:rsid w:val="00B547F9"/>
    <w:rsid w:val="00B56DC0"/>
    <w:rsid w:val="00B65A37"/>
    <w:rsid w:val="00B669EE"/>
    <w:rsid w:val="00B70B05"/>
    <w:rsid w:val="00B711CA"/>
    <w:rsid w:val="00B72266"/>
    <w:rsid w:val="00B72CF1"/>
    <w:rsid w:val="00B733BA"/>
    <w:rsid w:val="00B73862"/>
    <w:rsid w:val="00B74D2B"/>
    <w:rsid w:val="00B7712F"/>
    <w:rsid w:val="00B7779A"/>
    <w:rsid w:val="00B80A2C"/>
    <w:rsid w:val="00B810B5"/>
    <w:rsid w:val="00B81D23"/>
    <w:rsid w:val="00B82455"/>
    <w:rsid w:val="00B825B7"/>
    <w:rsid w:val="00B82DBA"/>
    <w:rsid w:val="00B83622"/>
    <w:rsid w:val="00B83D73"/>
    <w:rsid w:val="00B84BD3"/>
    <w:rsid w:val="00B864D5"/>
    <w:rsid w:val="00B87B37"/>
    <w:rsid w:val="00B90A3B"/>
    <w:rsid w:val="00B90F2C"/>
    <w:rsid w:val="00B911FC"/>
    <w:rsid w:val="00B91216"/>
    <w:rsid w:val="00B92118"/>
    <w:rsid w:val="00B92BE2"/>
    <w:rsid w:val="00B93B04"/>
    <w:rsid w:val="00B941FA"/>
    <w:rsid w:val="00B94841"/>
    <w:rsid w:val="00B948EF"/>
    <w:rsid w:val="00B94DCA"/>
    <w:rsid w:val="00B952EF"/>
    <w:rsid w:val="00B95898"/>
    <w:rsid w:val="00B961CF"/>
    <w:rsid w:val="00B962E6"/>
    <w:rsid w:val="00B97036"/>
    <w:rsid w:val="00B97F12"/>
    <w:rsid w:val="00BA0A93"/>
    <w:rsid w:val="00BA1787"/>
    <w:rsid w:val="00BA1D4B"/>
    <w:rsid w:val="00BA2437"/>
    <w:rsid w:val="00BA24E4"/>
    <w:rsid w:val="00BA27C1"/>
    <w:rsid w:val="00BA37CF"/>
    <w:rsid w:val="00BA3B48"/>
    <w:rsid w:val="00BA4D2A"/>
    <w:rsid w:val="00BA5A68"/>
    <w:rsid w:val="00BA637E"/>
    <w:rsid w:val="00BA6900"/>
    <w:rsid w:val="00BA6E48"/>
    <w:rsid w:val="00BA6F4D"/>
    <w:rsid w:val="00BA724E"/>
    <w:rsid w:val="00BB1927"/>
    <w:rsid w:val="00BB1E5B"/>
    <w:rsid w:val="00BB23F0"/>
    <w:rsid w:val="00BB269C"/>
    <w:rsid w:val="00BB38B2"/>
    <w:rsid w:val="00BB47CE"/>
    <w:rsid w:val="00BB4AC1"/>
    <w:rsid w:val="00BB5761"/>
    <w:rsid w:val="00BB629D"/>
    <w:rsid w:val="00BB6740"/>
    <w:rsid w:val="00BB7434"/>
    <w:rsid w:val="00BB7671"/>
    <w:rsid w:val="00BB7C89"/>
    <w:rsid w:val="00BC02CC"/>
    <w:rsid w:val="00BC032B"/>
    <w:rsid w:val="00BC0C1E"/>
    <w:rsid w:val="00BC11A6"/>
    <w:rsid w:val="00BC1F5C"/>
    <w:rsid w:val="00BC2BAD"/>
    <w:rsid w:val="00BC3D7C"/>
    <w:rsid w:val="00BC3F95"/>
    <w:rsid w:val="00BC4467"/>
    <w:rsid w:val="00BC4783"/>
    <w:rsid w:val="00BC4BD6"/>
    <w:rsid w:val="00BC55A0"/>
    <w:rsid w:val="00BC5B01"/>
    <w:rsid w:val="00BC621E"/>
    <w:rsid w:val="00BC6E88"/>
    <w:rsid w:val="00BD14C9"/>
    <w:rsid w:val="00BD3EB0"/>
    <w:rsid w:val="00BD57E2"/>
    <w:rsid w:val="00BD608C"/>
    <w:rsid w:val="00BD63A1"/>
    <w:rsid w:val="00BD66EA"/>
    <w:rsid w:val="00BD7157"/>
    <w:rsid w:val="00BD749D"/>
    <w:rsid w:val="00BE0491"/>
    <w:rsid w:val="00BE063B"/>
    <w:rsid w:val="00BE0E3E"/>
    <w:rsid w:val="00BE1110"/>
    <w:rsid w:val="00BE1552"/>
    <w:rsid w:val="00BE2555"/>
    <w:rsid w:val="00BE28A2"/>
    <w:rsid w:val="00BE2BD9"/>
    <w:rsid w:val="00BE3508"/>
    <w:rsid w:val="00BE3743"/>
    <w:rsid w:val="00BE42D8"/>
    <w:rsid w:val="00BE4CD6"/>
    <w:rsid w:val="00BE61D3"/>
    <w:rsid w:val="00BE68D2"/>
    <w:rsid w:val="00BE6963"/>
    <w:rsid w:val="00BE6EEE"/>
    <w:rsid w:val="00BE7494"/>
    <w:rsid w:val="00BE7944"/>
    <w:rsid w:val="00BF102D"/>
    <w:rsid w:val="00BF2218"/>
    <w:rsid w:val="00BF229A"/>
    <w:rsid w:val="00BF397E"/>
    <w:rsid w:val="00BF43D1"/>
    <w:rsid w:val="00BF507C"/>
    <w:rsid w:val="00BF5374"/>
    <w:rsid w:val="00BF6203"/>
    <w:rsid w:val="00BF6607"/>
    <w:rsid w:val="00BF683B"/>
    <w:rsid w:val="00BF7131"/>
    <w:rsid w:val="00BF7FB0"/>
    <w:rsid w:val="00C005D2"/>
    <w:rsid w:val="00C01844"/>
    <w:rsid w:val="00C02594"/>
    <w:rsid w:val="00C026D5"/>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64BC"/>
    <w:rsid w:val="00C16DAF"/>
    <w:rsid w:val="00C17BA2"/>
    <w:rsid w:val="00C223C9"/>
    <w:rsid w:val="00C22CE3"/>
    <w:rsid w:val="00C2354F"/>
    <w:rsid w:val="00C23994"/>
    <w:rsid w:val="00C25DBD"/>
    <w:rsid w:val="00C3280F"/>
    <w:rsid w:val="00C34FAF"/>
    <w:rsid w:val="00C376B5"/>
    <w:rsid w:val="00C4175C"/>
    <w:rsid w:val="00C4176A"/>
    <w:rsid w:val="00C426CB"/>
    <w:rsid w:val="00C43487"/>
    <w:rsid w:val="00C476E4"/>
    <w:rsid w:val="00C5063C"/>
    <w:rsid w:val="00C5104C"/>
    <w:rsid w:val="00C51F37"/>
    <w:rsid w:val="00C52113"/>
    <w:rsid w:val="00C52A2B"/>
    <w:rsid w:val="00C52C36"/>
    <w:rsid w:val="00C532E1"/>
    <w:rsid w:val="00C55084"/>
    <w:rsid w:val="00C5641B"/>
    <w:rsid w:val="00C56DE9"/>
    <w:rsid w:val="00C57278"/>
    <w:rsid w:val="00C601D4"/>
    <w:rsid w:val="00C60959"/>
    <w:rsid w:val="00C609E2"/>
    <w:rsid w:val="00C60C95"/>
    <w:rsid w:val="00C61032"/>
    <w:rsid w:val="00C61950"/>
    <w:rsid w:val="00C62200"/>
    <w:rsid w:val="00C63CCD"/>
    <w:rsid w:val="00C65F95"/>
    <w:rsid w:val="00C67248"/>
    <w:rsid w:val="00C67E7A"/>
    <w:rsid w:val="00C70647"/>
    <w:rsid w:val="00C71B57"/>
    <w:rsid w:val="00C725D1"/>
    <w:rsid w:val="00C75242"/>
    <w:rsid w:val="00C756E6"/>
    <w:rsid w:val="00C759F8"/>
    <w:rsid w:val="00C75C7E"/>
    <w:rsid w:val="00C77563"/>
    <w:rsid w:val="00C80385"/>
    <w:rsid w:val="00C81AD1"/>
    <w:rsid w:val="00C82960"/>
    <w:rsid w:val="00C83302"/>
    <w:rsid w:val="00C8417B"/>
    <w:rsid w:val="00C84840"/>
    <w:rsid w:val="00C84B35"/>
    <w:rsid w:val="00C85369"/>
    <w:rsid w:val="00C8546C"/>
    <w:rsid w:val="00C857DC"/>
    <w:rsid w:val="00C8675C"/>
    <w:rsid w:val="00C86BFD"/>
    <w:rsid w:val="00C872A5"/>
    <w:rsid w:val="00C906C3"/>
    <w:rsid w:val="00C917D6"/>
    <w:rsid w:val="00C93D1F"/>
    <w:rsid w:val="00C9460C"/>
    <w:rsid w:val="00C950D1"/>
    <w:rsid w:val="00C96CFF"/>
    <w:rsid w:val="00CA0ADD"/>
    <w:rsid w:val="00CA1993"/>
    <w:rsid w:val="00CA3167"/>
    <w:rsid w:val="00CA3378"/>
    <w:rsid w:val="00CA3731"/>
    <w:rsid w:val="00CA4E7F"/>
    <w:rsid w:val="00CA5E00"/>
    <w:rsid w:val="00CA6074"/>
    <w:rsid w:val="00CA6A74"/>
    <w:rsid w:val="00CA6E90"/>
    <w:rsid w:val="00CB00D6"/>
    <w:rsid w:val="00CB1F1F"/>
    <w:rsid w:val="00CB2A66"/>
    <w:rsid w:val="00CB36E2"/>
    <w:rsid w:val="00CB3E64"/>
    <w:rsid w:val="00CB58D4"/>
    <w:rsid w:val="00CB62F5"/>
    <w:rsid w:val="00CB76B2"/>
    <w:rsid w:val="00CB77E9"/>
    <w:rsid w:val="00CB7BFF"/>
    <w:rsid w:val="00CC39EE"/>
    <w:rsid w:val="00CC3FC7"/>
    <w:rsid w:val="00CC5B16"/>
    <w:rsid w:val="00CC7668"/>
    <w:rsid w:val="00CC79F2"/>
    <w:rsid w:val="00CD0528"/>
    <w:rsid w:val="00CD1C80"/>
    <w:rsid w:val="00CD2C65"/>
    <w:rsid w:val="00CD3201"/>
    <w:rsid w:val="00CD3D8D"/>
    <w:rsid w:val="00CD5224"/>
    <w:rsid w:val="00CD52E0"/>
    <w:rsid w:val="00CD570B"/>
    <w:rsid w:val="00CD5BA6"/>
    <w:rsid w:val="00CD5CEB"/>
    <w:rsid w:val="00CD7492"/>
    <w:rsid w:val="00CD7513"/>
    <w:rsid w:val="00CD790F"/>
    <w:rsid w:val="00CE1559"/>
    <w:rsid w:val="00CE22DC"/>
    <w:rsid w:val="00CE3084"/>
    <w:rsid w:val="00CE3A6B"/>
    <w:rsid w:val="00CE4355"/>
    <w:rsid w:val="00CE4D26"/>
    <w:rsid w:val="00CE76A8"/>
    <w:rsid w:val="00CF08CC"/>
    <w:rsid w:val="00CF0D5D"/>
    <w:rsid w:val="00CF1D76"/>
    <w:rsid w:val="00CF1E7A"/>
    <w:rsid w:val="00CF23F7"/>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95D"/>
    <w:rsid w:val="00D10CB1"/>
    <w:rsid w:val="00D11615"/>
    <w:rsid w:val="00D13638"/>
    <w:rsid w:val="00D14866"/>
    <w:rsid w:val="00D155EA"/>
    <w:rsid w:val="00D1589E"/>
    <w:rsid w:val="00D15B95"/>
    <w:rsid w:val="00D16E10"/>
    <w:rsid w:val="00D20FEF"/>
    <w:rsid w:val="00D2120B"/>
    <w:rsid w:val="00D216D4"/>
    <w:rsid w:val="00D2294E"/>
    <w:rsid w:val="00D23FBA"/>
    <w:rsid w:val="00D25365"/>
    <w:rsid w:val="00D2599F"/>
    <w:rsid w:val="00D2660C"/>
    <w:rsid w:val="00D27872"/>
    <w:rsid w:val="00D27A82"/>
    <w:rsid w:val="00D27AE7"/>
    <w:rsid w:val="00D27FE1"/>
    <w:rsid w:val="00D3183B"/>
    <w:rsid w:val="00D34495"/>
    <w:rsid w:val="00D3485C"/>
    <w:rsid w:val="00D35152"/>
    <w:rsid w:val="00D351EA"/>
    <w:rsid w:val="00D36292"/>
    <w:rsid w:val="00D366C1"/>
    <w:rsid w:val="00D36B6E"/>
    <w:rsid w:val="00D40644"/>
    <w:rsid w:val="00D41530"/>
    <w:rsid w:val="00D42360"/>
    <w:rsid w:val="00D4256B"/>
    <w:rsid w:val="00D43403"/>
    <w:rsid w:val="00D437D6"/>
    <w:rsid w:val="00D441BB"/>
    <w:rsid w:val="00D456FC"/>
    <w:rsid w:val="00D46141"/>
    <w:rsid w:val="00D46B68"/>
    <w:rsid w:val="00D47281"/>
    <w:rsid w:val="00D504E4"/>
    <w:rsid w:val="00D52776"/>
    <w:rsid w:val="00D54D80"/>
    <w:rsid w:val="00D5514E"/>
    <w:rsid w:val="00D564F9"/>
    <w:rsid w:val="00D5772B"/>
    <w:rsid w:val="00D57BDF"/>
    <w:rsid w:val="00D60579"/>
    <w:rsid w:val="00D60966"/>
    <w:rsid w:val="00D61146"/>
    <w:rsid w:val="00D61DCA"/>
    <w:rsid w:val="00D6223B"/>
    <w:rsid w:val="00D62563"/>
    <w:rsid w:val="00D62730"/>
    <w:rsid w:val="00D62E71"/>
    <w:rsid w:val="00D6441A"/>
    <w:rsid w:val="00D65740"/>
    <w:rsid w:val="00D659CE"/>
    <w:rsid w:val="00D65A7E"/>
    <w:rsid w:val="00D65C25"/>
    <w:rsid w:val="00D65CBF"/>
    <w:rsid w:val="00D70094"/>
    <w:rsid w:val="00D7056A"/>
    <w:rsid w:val="00D72160"/>
    <w:rsid w:val="00D72236"/>
    <w:rsid w:val="00D72C2E"/>
    <w:rsid w:val="00D73D24"/>
    <w:rsid w:val="00D740CA"/>
    <w:rsid w:val="00D740F5"/>
    <w:rsid w:val="00D74D31"/>
    <w:rsid w:val="00D75267"/>
    <w:rsid w:val="00D75771"/>
    <w:rsid w:val="00D76394"/>
    <w:rsid w:val="00D768F5"/>
    <w:rsid w:val="00D8053D"/>
    <w:rsid w:val="00D80A63"/>
    <w:rsid w:val="00D8117B"/>
    <w:rsid w:val="00D8143A"/>
    <w:rsid w:val="00D8220A"/>
    <w:rsid w:val="00D82C4B"/>
    <w:rsid w:val="00D83180"/>
    <w:rsid w:val="00D85308"/>
    <w:rsid w:val="00D85728"/>
    <w:rsid w:val="00D85BCD"/>
    <w:rsid w:val="00D8717B"/>
    <w:rsid w:val="00D91457"/>
    <w:rsid w:val="00D91467"/>
    <w:rsid w:val="00D9167C"/>
    <w:rsid w:val="00D92D7D"/>
    <w:rsid w:val="00D95620"/>
    <w:rsid w:val="00D95FF9"/>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B237B"/>
    <w:rsid w:val="00DB2625"/>
    <w:rsid w:val="00DB2D08"/>
    <w:rsid w:val="00DB2EBA"/>
    <w:rsid w:val="00DB3A38"/>
    <w:rsid w:val="00DB45F9"/>
    <w:rsid w:val="00DB4A73"/>
    <w:rsid w:val="00DB4B1B"/>
    <w:rsid w:val="00DB5688"/>
    <w:rsid w:val="00DB6671"/>
    <w:rsid w:val="00DB7AE6"/>
    <w:rsid w:val="00DC08EB"/>
    <w:rsid w:val="00DC0A6A"/>
    <w:rsid w:val="00DC3538"/>
    <w:rsid w:val="00DC452D"/>
    <w:rsid w:val="00DC4C74"/>
    <w:rsid w:val="00DC6563"/>
    <w:rsid w:val="00DD086A"/>
    <w:rsid w:val="00DD0AD9"/>
    <w:rsid w:val="00DD13ED"/>
    <w:rsid w:val="00DD2430"/>
    <w:rsid w:val="00DD3452"/>
    <w:rsid w:val="00DD3620"/>
    <w:rsid w:val="00DD430D"/>
    <w:rsid w:val="00DD555A"/>
    <w:rsid w:val="00DD57CC"/>
    <w:rsid w:val="00DD5A46"/>
    <w:rsid w:val="00DD5AD4"/>
    <w:rsid w:val="00DD6F3B"/>
    <w:rsid w:val="00DD7487"/>
    <w:rsid w:val="00DE00B1"/>
    <w:rsid w:val="00DE0460"/>
    <w:rsid w:val="00DE0BDD"/>
    <w:rsid w:val="00DE10AB"/>
    <w:rsid w:val="00DE2019"/>
    <w:rsid w:val="00DE3EA3"/>
    <w:rsid w:val="00DE502B"/>
    <w:rsid w:val="00DE5999"/>
    <w:rsid w:val="00DE6B94"/>
    <w:rsid w:val="00DE7895"/>
    <w:rsid w:val="00DF047F"/>
    <w:rsid w:val="00DF2997"/>
    <w:rsid w:val="00DF3CD9"/>
    <w:rsid w:val="00DF4C38"/>
    <w:rsid w:val="00DF648B"/>
    <w:rsid w:val="00DF69D8"/>
    <w:rsid w:val="00DF7DCE"/>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4316"/>
    <w:rsid w:val="00E15038"/>
    <w:rsid w:val="00E15C67"/>
    <w:rsid w:val="00E16369"/>
    <w:rsid w:val="00E172CB"/>
    <w:rsid w:val="00E17A52"/>
    <w:rsid w:val="00E20228"/>
    <w:rsid w:val="00E20E88"/>
    <w:rsid w:val="00E2126D"/>
    <w:rsid w:val="00E21980"/>
    <w:rsid w:val="00E21A37"/>
    <w:rsid w:val="00E233BC"/>
    <w:rsid w:val="00E23859"/>
    <w:rsid w:val="00E244AE"/>
    <w:rsid w:val="00E24D52"/>
    <w:rsid w:val="00E256A8"/>
    <w:rsid w:val="00E26A9B"/>
    <w:rsid w:val="00E30214"/>
    <w:rsid w:val="00E3045F"/>
    <w:rsid w:val="00E30892"/>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C75"/>
    <w:rsid w:val="00E44810"/>
    <w:rsid w:val="00E44D3F"/>
    <w:rsid w:val="00E45478"/>
    <w:rsid w:val="00E45B1D"/>
    <w:rsid w:val="00E46607"/>
    <w:rsid w:val="00E4667F"/>
    <w:rsid w:val="00E4689A"/>
    <w:rsid w:val="00E5048B"/>
    <w:rsid w:val="00E50820"/>
    <w:rsid w:val="00E50ED7"/>
    <w:rsid w:val="00E512C2"/>
    <w:rsid w:val="00E51FCB"/>
    <w:rsid w:val="00E53403"/>
    <w:rsid w:val="00E54346"/>
    <w:rsid w:val="00E56055"/>
    <w:rsid w:val="00E56F78"/>
    <w:rsid w:val="00E579D6"/>
    <w:rsid w:val="00E60B11"/>
    <w:rsid w:val="00E61EEB"/>
    <w:rsid w:val="00E6202E"/>
    <w:rsid w:val="00E62B8D"/>
    <w:rsid w:val="00E6311C"/>
    <w:rsid w:val="00E63308"/>
    <w:rsid w:val="00E63717"/>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4C1"/>
    <w:rsid w:val="00E7716C"/>
    <w:rsid w:val="00E7745C"/>
    <w:rsid w:val="00E7786F"/>
    <w:rsid w:val="00E82AA9"/>
    <w:rsid w:val="00E831B2"/>
    <w:rsid w:val="00E83D07"/>
    <w:rsid w:val="00E8572D"/>
    <w:rsid w:val="00E85A7E"/>
    <w:rsid w:val="00E867BA"/>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1075"/>
    <w:rsid w:val="00EA1401"/>
    <w:rsid w:val="00EA1885"/>
    <w:rsid w:val="00EA4A07"/>
    <w:rsid w:val="00EA65F1"/>
    <w:rsid w:val="00EA68F2"/>
    <w:rsid w:val="00EA6C07"/>
    <w:rsid w:val="00EA6F77"/>
    <w:rsid w:val="00EA75E5"/>
    <w:rsid w:val="00EB109B"/>
    <w:rsid w:val="00EB25F6"/>
    <w:rsid w:val="00EB2D8F"/>
    <w:rsid w:val="00EB3EFF"/>
    <w:rsid w:val="00EB40EC"/>
    <w:rsid w:val="00EB6742"/>
    <w:rsid w:val="00EB7A09"/>
    <w:rsid w:val="00EC08C9"/>
    <w:rsid w:val="00EC16E2"/>
    <w:rsid w:val="00EC1DC7"/>
    <w:rsid w:val="00EC2E66"/>
    <w:rsid w:val="00EC2EED"/>
    <w:rsid w:val="00EC35F9"/>
    <w:rsid w:val="00EC5941"/>
    <w:rsid w:val="00EC72F0"/>
    <w:rsid w:val="00EC7BC3"/>
    <w:rsid w:val="00ED178E"/>
    <w:rsid w:val="00ED3527"/>
    <w:rsid w:val="00ED39EB"/>
    <w:rsid w:val="00ED3C38"/>
    <w:rsid w:val="00ED466A"/>
    <w:rsid w:val="00ED549C"/>
    <w:rsid w:val="00ED667F"/>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1AD1"/>
    <w:rsid w:val="00EF2A70"/>
    <w:rsid w:val="00EF34CB"/>
    <w:rsid w:val="00EF3E24"/>
    <w:rsid w:val="00EF4C0C"/>
    <w:rsid w:val="00EF5509"/>
    <w:rsid w:val="00EF5876"/>
    <w:rsid w:val="00EF64E4"/>
    <w:rsid w:val="00EF71CA"/>
    <w:rsid w:val="00EF7841"/>
    <w:rsid w:val="00F0010A"/>
    <w:rsid w:val="00F0154F"/>
    <w:rsid w:val="00F0384C"/>
    <w:rsid w:val="00F038A0"/>
    <w:rsid w:val="00F053CC"/>
    <w:rsid w:val="00F05C47"/>
    <w:rsid w:val="00F0754C"/>
    <w:rsid w:val="00F07C1B"/>
    <w:rsid w:val="00F10BE9"/>
    <w:rsid w:val="00F10D4E"/>
    <w:rsid w:val="00F10D5D"/>
    <w:rsid w:val="00F11ABF"/>
    <w:rsid w:val="00F1284F"/>
    <w:rsid w:val="00F12EE8"/>
    <w:rsid w:val="00F12FFA"/>
    <w:rsid w:val="00F1312D"/>
    <w:rsid w:val="00F1362C"/>
    <w:rsid w:val="00F13A35"/>
    <w:rsid w:val="00F16248"/>
    <w:rsid w:val="00F1751C"/>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4414"/>
    <w:rsid w:val="00F350E8"/>
    <w:rsid w:val="00F35167"/>
    <w:rsid w:val="00F35AC3"/>
    <w:rsid w:val="00F36628"/>
    <w:rsid w:val="00F36BF3"/>
    <w:rsid w:val="00F37B00"/>
    <w:rsid w:val="00F40BB1"/>
    <w:rsid w:val="00F42C4F"/>
    <w:rsid w:val="00F42C6A"/>
    <w:rsid w:val="00F440FD"/>
    <w:rsid w:val="00F445A5"/>
    <w:rsid w:val="00F44D76"/>
    <w:rsid w:val="00F473C6"/>
    <w:rsid w:val="00F5032C"/>
    <w:rsid w:val="00F50473"/>
    <w:rsid w:val="00F528D1"/>
    <w:rsid w:val="00F5369D"/>
    <w:rsid w:val="00F54F1B"/>
    <w:rsid w:val="00F55894"/>
    <w:rsid w:val="00F57075"/>
    <w:rsid w:val="00F57386"/>
    <w:rsid w:val="00F61365"/>
    <w:rsid w:val="00F61817"/>
    <w:rsid w:val="00F61B85"/>
    <w:rsid w:val="00F62073"/>
    <w:rsid w:val="00F62766"/>
    <w:rsid w:val="00F62E4D"/>
    <w:rsid w:val="00F64944"/>
    <w:rsid w:val="00F657D8"/>
    <w:rsid w:val="00F67D86"/>
    <w:rsid w:val="00F70D12"/>
    <w:rsid w:val="00F7147D"/>
    <w:rsid w:val="00F71822"/>
    <w:rsid w:val="00F73300"/>
    <w:rsid w:val="00F74BBA"/>
    <w:rsid w:val="00F76014"/>
    <w:rsid w:val="00F808B4"/>
    <w:rsid w:val="00F80FD7"/>
    <w:rsid w:val="00F824F5"/>
    <w:rsid w:val="00F8277D"/>
    <w:rsid w:val="00F82A0C"/>
    <w:rsid w:val="00F83023"/>
    <w:rsid w:val="00F8406B"/>
    <w:rsid w:val="00F84348"/>
    <w:rsid w:val="00F84863"/>
    <w:rsid w:val="00F84CEA"/>
    <w:rsid w:val="00F8603F"/>
    <w:rsid w:val="00F869FB"/>
    <w:rsid w:val="00F878B2"/>
    <w:rsid w:val="00F87CE2"/>
    <w:rsid w:val="00F928C2"/>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B4357"/>
    <w:rsid w:val="00FB4427"/>
    <w:rsid w:val="00FB46FB"/>
    <w:rsid w:val="00FB4CB8"/>
    <w:rsid w:val="00FB6021"/>
    <w:rsid w:val="00FB6229"/>
    <w:rsid w:val="00FB775D"/>
    <w:rsid w:val="00FC1204"/>
    <w:rsid w:val="00FC1649"/>
    <w:rsid w:val="00FC1D7D"/>
    <w:rsid w:val="00FC29B9"/>
    <w:rsid w:val="00FC2CB6"/>
    <w:rsid w:val="00FC30A9"/>
    <w:rsid w:val="00FC3FF3"/>
    <w:rsid w:val="00FC4039"/>
    <w:rsid w:val="00FC491F"/>
    <w:rsid w:val="00FC4A00"/>
    <w:rsid w:val="00FC5D76"/>
    <w:rsid w:val="00FC6FD3"/>
    <w:rsid w:val="00FD0409"/>
    <w:rsid w:val="00FD1613"/>
    <w:rsid w:val="00FD303D"/>
    <w:rsid w:val="00FD4B58"/>
    <w:rsid w:val="00FD4BBD"/>
    <w:rsid w:val="00FD6F6C"/>
    <w:rsid w:val="00FE02D5"/>
    <w:rsid w:val="00FE17E1"/>
    <w:rsid w:val="00FE3B25"/>
    <w:rsid w:val="00FE3C9B"/>
    <w:rsid w:val="00FE4F67"/>
    <w:rsid w:val="00FE527B"/>
    <w:rsid w:val="00FE7D1F"/>
    <w:rsid w:val="00FF053D"/>
    <w:rsid w:val="00FF090A"/>
    <w:rsid w:val="00FF11FA"/>
    <w:rsid w:val="00FF12CB"/>
    <w:rsid w:val="00FF28DC"/>
    <w:rsid w:val="00FF50E5"/>
    <w:rsid w:val="00FF51F9"/>
    <w:rsid w:val="00FF560F"/>
    <w:rsid w:val="00FF5A3B"/>
    <w:rsid w:val="00FF61FB"/>
    <w:rsid w:val="00FF6509"/>
    <w:rsid w:val="00FF6A65"/>
    <w:rsid w:val="00FF6B07"/>
    <w:rsid w:val="00FF6CA9"/>
    <w:rsid w:val="00FF6CFE"/>
    <w:rsid w:val="00FF7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uiPriority w:val="99"/>
    <w:qFormat/>
    <w:locked/>
    <w:rsid w:val="00775EE5"/>
    <w:rPr>
      <w:rFonts w:ascii="Arial" w:hAnsi="Arial" w:cs="Arial"/>
      <w:sz w:val="18"/>
    </w:rPr>
  </w:style>
  <w:style w:type="paragraph" w:customStyle="1" w:styleId="TAN">
    <w:name w:val="TAN"/>
    <w:basedOn w:val="Normal"/>
    <w:link w:val="TANChar"/>
    <w:uiPriority w:val="99"/>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 w:type="table" w:customStyle="1" w:styleId="TableGrid2">
    <w:name w:val="Table Grid2"/>
    <w:basedOn w:val="TableNormal"/>
    <w:next w:val="TableGrid"/>
    <w:qFormat/>
    <w:rsid w:val="00F64944"/>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1728335546">
          <w:marLeft w:val="547"/>
          <w:marRight w:val="0"/>
          <w:marTop w:val="134"/>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1337614541">
          <w:marLeft w:val="547"/>
          <w:marRight w:val="0"/>
          <w:marTop w:val="134"/>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321391913">
          <w:marLeft w:val="1166"/>
          <w:marRight w:val="0"/>
          <w:marTop w:val="115"/>
          <w:marBottom w:val="0"/>
          <w:divBdr>
            <w:top w:val="none" w:sz="0" w:space="0" w:color="auto"/>
            <w:left w:val="none" w:sz="0" w:space="0" w:color="auto"/>
            <w:bottom w:val="none" w:sz="0" w:space="0" w:color="auto"/>
            <w:right w:val="none" w:sz="0" w:space="0" w:color="auto"/>
          </w:divBdr>
        </w:div>
      </w:divsChild>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5AIRPNAIUNRU-1328258698-4263</_dlc_DocId>
    <_dlc_DocIdUrl xmlns="71c5aaf6-e6ce-465b-b873-5148d2a4c105">
      <Url>https://nokia.sharepoint.com/sites/c5g/5gradio/_layouts/15/DocIdRedir.aspx?ID=5AIRPNAIUNRU-1328258698-4263</Url>
      <Description>5AIRPNAIUNRU-1328258698-4263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3.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4.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5.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6.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6160</TotalTime>
  <Pages>5</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1245</cp:revision>
  <cp:lastPrinted>2021-10-14T17:58:00Z</cp:lastPrinted>
  <dcterms:created xsi:type="dcterms:W3CDTF">2021-05-11T17:35:00Z</dcterms:created>
  <dcterms:modified xsi:type="dcterms:W3CDTF">2022-01-10T22:03:00Z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9033ef26-6dd4-4bff-86df-e793ae20be4f</vt:lpwstr>
  </property>
</Properties>
</file>